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17" w:rsidRDefault="00FD1DB0">
      <w:pPr>
        <w:pStyle w:val="Titreprincipal"/>
        <w:pBdr>
          <w:bottom w:val="single" w:sz="6" w:space="1" w:color="00000A"/>
        </w:pBdr>
      </w:pPr>
      <w:bookmarkStart w:id="0" w:name="_GoBack"/>
      <w:bookmarkEnd w:id="0"/>
      <w:r>
        <w:t>Informatiedocument omtrent het douanewetboek van de Unie (DWU)</w:t>
      </w:r>
    </w:p>
    <w:p w:rsidR="00366217" w:rsidRDefault="00366217">
      <w:pPr>
        <w:jc w:val="both"/>
        <w:rPr>
          <w:rFonts w:ascii="Calibri" w:eastAsia="Calibri" w:hAnsi="Calibri" w:cstheme="minorHAnsi"/>
        </w:rPr>
      </w:pPr>
    </w:p>
    <w:p w:rsidR="00366217" w:rsidRDefault="00366217">
      <w:pPr>
        <w:jc w:val="both"/>
      </w:pPr>
    </w:p>
    <w:p w:rsidR="00366217" w:rsidRDefault="00366217">
      <w:pPr>
        <w:jc w:val="both"/>
      </w:pPr>
    </w:p>
    <w:p w:rsidR="00366217" w:rsidRDefault="00366217">
      <w:pPr>
        <w:jc w:val="both"/>
      </w:pPr>
    </w:p>
    <w:p w:rsidR="00366217" w:rsidRDefault="00366217">
      <w:pPr>
        <w:jc w:val="both"/>
      </w:pPr>
    </w:p>
    <w:p w:rsidR="00366217" w:rsidRDefault="00FD1DB0">
      <w:pPr>
        <w:jc w:val="both"/>
        <w:rPr>
          <w:rFonts w:cstheme="minorHAnsi"/>
        </w:rPr>
      </w:pPr>
      <w:r>
        <w:rPr>
          <w:rFonts w:cstheme="minorHAnsi"/>
        </w:rPr>
        <w:t>Opmerking:</w:t>
      </w:r>
    </w:p>
    <w:p w:rsidR="00366217" w:rsidRDefault="00FD1DB0">
      <w:pPr>
        <w:jc w:val="both"/>
      </w:pPr>
      <w:r>
        <w:rPr>
          <w:rFonts w:cstheme="minorHAnsi"/>
        </w:rPr>
        <w:t>De Europese Commissie is bezig met het opstellen van “richtlijnen” (in samenspraak met de Lidstaten en de vertegenwoordigers van de Handel) om bepaalde wijzigingen van het DWU uit te leggen, in het bijzonder voor de bijzondere regelingen van titel VII. Deze guidelines (in EN/FR/GE) zullen gepubliceerd worden in maart 2016.</w:t>
      </w:r>
    </w:p>
    <w:p w:rsidR="00366217" w:rsidRDefault="00366217">
      <w:pPr>
        <w:jc w:val="both"/>
        <w:rPr>
          <w:rFonts w:ascii="Calibri" w:eastAsia="Calibri" w:hAnsi="Calibri" w:cstheme="minorHAnsi"/>
        </w:rPr>
      </w:pPr>
    </w:p>
    <w:p w:rsidR="00366217" w:rsidRDefault="00366217">
      <w:pPr>
        <w:jc w:val="both"/>
        <w:rPr>
          <w:rFonts w:ascii="Calibri" w:eastAsia="Calibri" w:hAnsi="Calibri" w:cstheme="minorHAnsi"/>
        </w:rPr>
      </w:pPr>
    </w:p>
    <w:p w:rsidR="00366217" w:rsidRDefault="00FD1DB0">
      <w:pPr>
        <w:jc w:val="both"/>
        <w:rPr>
          <w:rFonts w:ascii="Calibri" w:eastAsia="Calibri" w:hAnsi="Calibri" w:cstheme="minorHAnsi"/>
          <w:b/>
          <w:bCs/>
          <w:sz w:val="32"/>
          <w:szCs w:val="32"/>
        </w:rPr>
      </w:pPr>
      <w:r>
        <w:rPr>
          <w:rFonts w:eastAsia="Calibri" w:cstheme="minorHAnsi"/>
          <w:b/>
          <w:bCs/>
          <w:sz w:val="32"/>
          <w:szCs w:val="32"/>
        </w:rPr>
        <w:t>Reviseerd versie van 8 maart 2016</w:t>
      </w:r>
      <w:r>
        <w:br w:type="page"/>
      </w:r>
    </w:p>
    <w:p w:rsidR="00366217" w:rsidRDefault="00FD1DB0">
      <w:pPr>
        <w:pStyle w:val="Tabledesmatiresniveau1"/>
      </w:pPr>
      <w:r>
        <w:lastRenderedPageBreak/>
        <w:t xml:space="preserve">Pagina </w:t>
      </w:r>
    </w:p>
    <w:p w:rsidR="00366217" w:rsidRDefault="00FD1DB0">
      <w:pPr>
        <w:pStyle w:val="Tabledesmatiresniveau1"/>
        <w:spacing w:line="240" w:lineRule="auto"/>
        <w:rPr>
          <w:rFonts w:eastAsiaTheme="minorEastAsia"/>
          <w:b w:val="0"/>
          <w:bCs w:val="0"/>
          <w:sz w:val="18"/>
          <w:szCs w:val="18"/>
          <w:lang w:val="fr-BE" w:eastAsia="fr-BE"/>
        </w:rPr>
      </w:pPr>
      <w:r>
        <w:fldChar w:fldCharType="begin"/>
      </w:r>
      <w:r>
        <w:instrText>TOC \z \o "1-9" \h</w:instrText>
      </w:r>
      <w:r>
        <w:fldChar w:fldCharType="separate"/>
      </w:r>
      <w:hyperlink w:anchor="_Toc438135689">
        <w:r>
          <w:rPr>
            <w:rStyle w:val="Sautdindex"/>
            <w:rFonts w:cstheme="minorHAnsi"/>
            <w:webHidden/>
            <w:sz w:val="18"/>
            <w:szCs w:val="18"/>
          </w:rPr>
          <w:t>1.</w:t>
        </w:r>
        <w:r>
          <w:rPr>
            <w:rStyle w:val="Sautdindex"/>
            <w:rFonts w:eastAsiaTheme="minorEastAsia"/>
            <w:b w:val="0"/>
            <w:bCs w:val="0"/>
            <w:sz w:val="18"/>
            <w:szCs w:val="18"/>
            <w:lang w:val="fr-BE" w:eastAsia="fr-BE"/>
          </w:rPr>
          <w:tab/>
        </w:r>
        <w:r>
          <w:rPr>
            <w:rStyle w:val="Sautdindex"/>
            <w:rFonts w:cstheme="minorHAnsi"/>
            <w:sz w:val="18"/>
            <w:szCs w:val="18"/>
          </w:rPr>
          <w:t>De nieuwe structuur van het douanewetboek van de Unie</w:t>
        </w:r>
        <w:r>
          <w:rPr>
            <w:webHidden/>
          </w:rPr>
          <w:fldChar w:fldCharType="begin"/>
        </w:r>
        <w:r>
          <w:rPr>
            <w:webHidden/>
          </w:rPr>
          <w:instrText>PAGEREF _Toc438135689 \h</w:instrText>
        </w:r>
        <w:r>
          <w:rPr>
            <w:webHidden/>
          </w:rPr>
        </w:r>
        <w:r>
          <w:rPr>
            <w:webHidden/>
          </w:rPr>
          <w:fldChar w:fldCharType="separate"/>
        </w:r>
        <w:r>
          <w:rPr>
            <w:rStyle w:val="Sautdindex"/>
            <w:sz w:val="18"/>
            <w:szCs w:val="18"/>
          </w:rPr>
          <w:tab/>
          <w:t>3</w:t>
        </w:r>
        <w:r>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690">
        <w:r w:rsidR="00FD1DB0">
          <w:rPr>
            <w:rStyle w:val="Sautdindex"/>
            <w:rFonts w:cstheme="minorHAnsi"/>
            <w:webHidden/>
            <w:sz w:val="18"/>
            <w:szCs w:val="18"/>
          </w:rPr>
          <w:t>1.1.</w:t>
        </w:r>
        <w:r w:rsidR="00FD1DB0">
          <w:rPr>
            <w:rStyle w:val="Sautdindex"/>
            <w:rFonts w:eastAsiaTheme="minorEastAsia"/>
            <w:sz w:val="18"/>
            <w:szCs w:val="18"/>
            <w:lang w:val="fr-BE" w:eastAsia="fr-BE"/>
          </w:rPr>
          <w:tab/>
        </w:r>
        <w:r w:rsidR="00FD1DB0">
          <w:rPr>
            <w:rStyle w:val="Sautdindex"/>
            <w:rFonts w:cstheme="minorHAnsi"/>
            <w:sz w:val="18"/>
            <w:szCs w:val="18"/>
          </w:rPr>
          <w:t>Het douanewetboek van de Unie  (Union Customs Code):</w:t>
        </w:r>
        <w:r w:rsidR="00FD1DB0">
          <w:rPr>
            <w:webHidden/>
          </w:rPr>
          <w:fldChar w:fldCharType="begin"/>
        </w:r>
        <w:r w:rsidR="00FD1DB0">
          <w:rPr>
            <w:webHidden/>
          </w:rPr>
          <w:instrText>PAGEREF _Toc438135690 \h</w:instrText>
        </w:r>
        <w:r w:rsidR="00FD1DB0">
          <w:rPr>
            <w:webHidden/>
          </w:rPr>
        </w:r>
        <w:r w:rsidR="00FD1DB0">
          <w:rPr>
            <w:webHidden/>
          </w:rPr>
          <w:fldChar w:fldCharType="separate"/>
        </w:r>
        <w:r w:rsidR="00FD1DB0">
          <w:rPr>
            <w:rStyle w:val="Sautdindex"/>
            <w:sz w:val="18"/>
            <w:szCs w:val="18"/>
          </w:rPr>
          <w:tab/>
          <w:t>3</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691">
        <w:r w:rsidR="00FD1DB0">
          <w:rPr>
            <w:rStyle w:val="Sautdindex"/>
            <w:rFonts w:cstheme="minorHAnsi"/>
            <w:webHidden/>
            <w:sz w:val="18"/>
            <w:szCs w:val="18"/>
          </w:rPr>
          <w:t>1.2.</w:t>
        </w:r>
        <w:r w:rsidR="00FD1DB0">
          <w:rPr>
            <w:rStyle w:val="Sautdindex"/>
            <w:rFonts w:eastAsiaTheme="minorEastAsia"/>
            <w:sz w:val="18"/>
            <w:szCs w:val="18"/>
            <w:lang w:val="fr-BE" w:eastAsia="fr-BE"/>
          </w:rPr>
          <w:tab/>
        </w:r>
        <w:r w:rsidR="00FD1DB0">
          <w:rPr>
            <w:rStyle w:val="Sautdindex"/>
            <w:rFonts w:cstheme="minorHAnsi"/>
            <w:sz w:val="18"/>
            <w:szCs w:val="18"/>
          </w:rPr>
          <w:t>De gedelegeerde handelingen (UCC DA) :</w:t>
        </w:r>
        <w:r w:rsidR="00FD1DB0">
          <w:rPr>
            <w:webHidden/>
          </w:rPr>
          <w:fldChar w:fldCharType="begin"/>
        </w:r>
        <w:r w:rsidR="00FD1DB0">
          <w:rPr>
            <w:webHidden/>
          </w:rPr>
          <w:instrText>PAGEREF _Toc438135691 \h</w:instrText>
        </w:r>
        <w:r w:rsidR="00FD1DB0">
          <w:rPr>
            <w:webHidden/>
          </w:rPr>
        </w:r>
        <w:r w:rsidR="00FD1DB0">
          <w:rPr>
            <w:webHidden/>
          </w:rPr>
          <w:fldChar w:fldCharType="separate"/>
        </w:r>
        <w:r w:rsidR="00FD1DB0">
          <w:rPr>
            <w:rStyle w:val="Sautdindex"/>
            <w:sz w:val="18"/>
            <w:szCs w:val="18"/>
          </w:rPr>
          <w:tab/>
          <w:t>3</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692">
        <w:r w:rsidR="00FD1DB0">
          <w:rPr>
            <w:rStyle w:val="Sautdindex"/>
            <w:rFonts w:cstheme="minorHAnsi"/>
            <w:webHidden/>
            <w:sz w:val="18"/>
            <w:szCs w:val="18"/>
          </w:rPr>
          <w:t>1.3.</w:t>
        </w:r>
        <w:r w:rsidR="00FD1DB0">
          <w:rPr>
            <w:rStyle w:val="Sautdindex"/>
            <w:rFonts w:eastAsiaTheme="minorEastAsia"/>
            <w:sz w:val="18"/>
            <w:szCs w:val="18"/>
            <w:lang w:val="fr-BE" w:eastAsia="fr-BE"/>
          </w:rPr>
          <w:tab/>
        </w:r>
        <w:r w:rsidR="00FD1DB0">
          <w:rPr>
            <w:rStyle w:val="Sautdindex"/>
            <w:rFonts w:cstheme="minorHAnsi"/>
            <w:sz w:val="18"/>
            <w:szCs w:val="18"/>
          </w:rPr>
          <w:t>De uitvoeringsverordening (UCC IA) :</w:t>
        </w:r>
        <w:r w:rsidR="00FD1DB0">
          <w:rPr>
            <w:webHidden/>
          </w:rPr>
          <w:fldChar w:fldCharType="begin"/>
        </w:r>
        <w:r w:rsidR="00FD1DB0">
          <w:rPr>
            <w:webHidden/>
          </w:rPr>
          <w:instrText>PAGEREF _Toc438135692 \h</w:instrText>
        </w:r>
        <w:r w:rsidR="00FD1DB0">
          <w:rPr>
            <w:webHidden/>
          </w:rPr>
        </w:r>
        <w:r w:rsidR="00FD1DB0">
          <w:rPr>
            <w:webHidden/>
          </w:rPr>
          <w:fldChar w:fldCharType="separate"/>
        </w:r>
        <w:r w:rsidR="00FD1DB0">
          <w:rPr>
            <w:rStyle w:val="Sautdindex"/>
            <w:sz w:val="18"/>
            <w:szCs w:val="18"/>
          </w:rPr>
          <w:tab/>
          <w:t>3</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693">
        <w:r w:rsidR="00FD1DB0">
          <w:rPr>
            <w:rStyle w:val="Sautdindex"/>
            <w:rFonts w:cstheme="minorHAnsi"/>
            <w:webHidden/>
            <w:sz w:val="18"/>
            <w:szCs w:val="18"/>
          </w:rPr>
          <w:t>1.4.</w:t>
        </w:r>
        <w:r w:rsidR="00FD1DB0">
          <w:rPr>
            <w:rStyle w:val="Sautdindex"/>
            <w:rFonts w:eastAsiaTheme="minorEastAsia"/>
            <w:sz w:val="18"/>
            <w:szCs w:val="18"/>
            <w:lang w:val="fr-BE" w:eastAsia="fr-BE"/>
          </w:rPr>
          <w:tab/>
        </w:r>
        <w:r w:rsidR="00FD1DB0">
          <w:rPr>
            <w:rStyle w:val="Sautdindex"/>
            <w:rFonts w:cstheme="minorHAnsi"/>
            <w:sz w:val="18"/>
            <w:szCs w:val="18"/>
          </w:rPr>
          <w:t>TDA:</w:t>
        </w:r>
        <w:r w:rsidR="00FD1DB0">
          <w:rPr>
            <w:webHidden/>
          </w:rPr>
          <w:fldChar w:fldCharType="begin"/>
        </w:r>
        <w:r w:rsidR="00FD1DB0">
          <w:rPr>
            <w:webHidden/>
          </w:rPr>
          <w:instrText>PAGEREF _Toc438135693 \h</w:instrText>
        </w:r>
        <w:r w:rsidR="00FD1DB0">
          <w:rPr>
            <w:webHidden/>
          </w:rPr>
        </w:r>
        <w:r w:rsidR="00FD1DB0">
          <w:rPr>
            <w:webHidden/>
          </w:rPr>
          <w:fldChar w:fldCharType="separate"/>
        </w:r>
        <w:r w:rsidR="00FD1DB0">
          <w:rPr>
            <w:rStyle w:val="Sautdindex"/>
            <w:sz w:val="18"/>
            <w:szCs w:val="18"/>
          </w:rPr>
          <w:tab/>
          <w:t>3</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694">
        <w:r w:rsidR="00FD1DB0">
          <w:rPr>
            <w:rStyle w:val="Sautdindex"/>
            <w:rFonts w:cstheme="minorHAnsi"/>
            <w:webHidden/>
            <w:sz w:val="18"/>
            <w:szCs w:val="18"/>
          </w:rPr>
          <w:t>1.5.</w:t>
        </w:r>
        <w:r w:rsidR="00FD1DB0">
          <w:rPr>
            <w:rStyle w:val="Sautdindex"/>
            <w:rFonts w:eastAsiaTheme="minorEastAsia"/>
            <w:sz w:val="18"/>
            <w:szCs w:val="18"/>
            <w:lang w:val="fr-BE" w:eastAsia="fr-BE"/>
          </w:rPr>
          <w:tab/>
        </w:r>
        <w:r w:rsidR="00FD1DB0">
          <w:rPr>
            <w:rStyle w:val="Sautdindex"/>
            <w:rFonts w:cstheme="minorHAnsi"/>
            <w:sz w:val="18"/>
            <w:szCs w:val="18"/>
          </w:rPr>
          <w:t>Het werkprogramma voor het Douanewetboek van de Unie</w:t>
        </w:r>
        <w:r w:rsidR="00FD1DB0">
          <w:rPr>
            <w:webHidden/>
          </w:rPr>
          <w:fldChar w:fldCharType="begin"/>
        </w:r>
        <w:r w:rsidR="00FD1DB0">
          <w:rPr>
            <w:webHidden/>
          </w:rPr>
          <w:instrText>PAGEREF _Toc438135694 \h</w:instrText>
        </w:r>
        <w:r w:rsidR="00FD1DB0">
          <w:rPr>
            <w:webHidden/>
          </w:rPr>
        </w:r>
        <w:r w:rsidR="00FD1DB0">
          <w:rPr>
            <w:webHidden/>
          </w:rPr>
          <w:fldChar w:fldCharType="separate"/>
        </w:r>
        <w:r w:rsidR="00FD1DB0">
          <w:rPr>
            <w:rStyle w:val="Sautdindex"/>
            <w:sz w:val="18"/>
            <w:szCs w:val="18"/>
          </w:rPr>
          <w:tab/>
          <w:t>3</w:t>
        </w:r>
        <w:r w:rsidR="00FD1DB0">
          <w:rPr>
            <w:webHidden/>
          </w:rPr>
          <w:fldChar w:fldCharType="end"/>
        </w:r>
      </w:hyperlink>
    </w:p>
    <w:p w:rsidR="00366217" w:rsidRDefault="00112066">
      <w:pPr>
        <w:pStyle w:val="Tabledesmatiresniveau1"/>
        <w:spacing w:line="240" w:lineRule="auto"/>
        <w:rPr>
          <w:rFonts w:eastAsiaTheme="minorEastAsia"/>
          <w:b w:val="0"/>
          <w:bCs w:val="0"/>
          <w:sz w:val="18"/>
          <w:szCs w:val="18"/>
          <w:lang w:val="fr-BE" w:eastAsia="fr-BE"/>
        </w:rPr>
      </w:pPr>
      <w:hyperlink w:anchor="_Toc438135695">
        <w:r w:rsidR="00FD1DB0">
          <w:rPr>
            <w:rStyle w:val="Sautdindex"/>
            <w:rFonts w:cstheme="minorHAnsi"/>
            <w:webHidden/>
            <w:sz w:val="18"/>
            <w:szCs w:val="18"/>
          </w:rPr>
          <w:t>2.</w:t>
        </w:r>
        <w:r w:rsidR="00FD1DB0">
          <w:rPr>
            <w:rStyle w:val="Sautdindex"/>
            <w:rFonts w:eastAsiaTheme="minorEastAsia"/>
            <w:b w:val="0"/>
            <w:bCs w:val="0"/>
            <w:sz w:val="18"/>
            <w:szCs w:val="18"/>
            <w:lang w:val="fr-BE" w:eastAsia="fr-BE"/>
          </w:rPr>
          <w:tab/>
        </w:r>
        <w:r w:rsidR="00FD1DB0">
          <w:rPr>
            <w:rStyle w:val="Sautdindex"/>
            <w:rFonts w:cstheme="minorHAnsi"/>
            <w:sz w:val="18"/>
            <w:szCs w:val="18"/>
          </w:rPr>
          <w:t>Analyse van het douanewetboek van de Unie, titel per titel.</w:t>
        </w:r>
        <w:r w:rsidR="00FD1DB0">
          <w:rPr>
            <w:webHidden/>
          </w:rPr>
          <w:fldChar w:fldCharType="begin"/>
        </w:r>
        <w:r w:rsidR="00FD1DB0">
          <w:rPr>
            <w:webHidden/>
          </w:rPr>
          <w:instrText>PAGEREF _Toc438135695 \h</w:instrText>
        </w:r>
        <w:r w:rsidR="00FD1DB0">
          <w:rPr>
            <w:webHidden/>
          </w:rPr>
        </w:r>
        <w:r w:rsidR="00FD1DB0">
          <w:rPr>
            <w:webHidden/>
          </w:rPr>
          <w:fldChar w:fldCharType="separate"/>
        </w:r>
        <w:r w:rsidR="00FD1DB0">
          <w:rPr>
            <w:rStyle w:val="Sautdindex"/>
            <w:sz w:val="18"/>
            <w:szCs w:val="18"/>
          </w:rPr>
          <w:tab/>
          <w:t>4</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696">
        <w:r w:rsidR="00FD1DB0">
          <w:rPr>
            <w:rStyle w:val="Sautdindex"/>
            <w:rFonts w:cstheme="minorHAnsi"/>
            <w:webHidden/>
            <w:sz w:val="18"/>
            <w:szCs w:val="18"/>
          </w:rPr>
          <w:t>2.1.</w:t>
        </w:r>
        <w:r w:rsidR="00FD1DB0">
          <w:rPr>
            <w:rStyle w:val="Sautdindex"/>
            <w:rFonts w:eastAsiaTheme="minorEastAsia"/>
            <w:sz w:val="18"/>
            <w:szCs w:val="18"/>
            <w:lang w:val="fr-BE" w:eastAsia="fr-BE"/>
          </w:rPr>
          <w:tab/>
        </w:r>
        <w:r w:rsidR="00FD1DB0">
          <w:rPr>
            <w:rStyle w:val="Sautdindex"/>
            <w:rFonts w:cstheme="minorHAnsi"/>
            <w:sz w:val="18"/>
            <w:szCs w:val="18"/>
          </w:rPr>
          <w:t>Titel I: Algemene bepalingen.</w:t>
        </w:r>
        <w:r w:rsidR="00FD1DB0">
          <w:rPr>
            <w:webHidden/>
          </w:rPr>
          <w:fldChar w:fldCharType="begin"/>
        </w:r>
        <w:r w:rsidR="00FD1DB0">
          <w:rPr>
            <w:webHidden/>
          </w:rPr>
          <w:instrText>PAGEREF _Toc438135696 \h</w:instrText>
        </w:r>
        <w:r w:rsidR="00FD1DB0">
          <w:rPr>
            <w:webHidden/>
          </w:rPr>
        </w:r>
        <w:r w:rsidR="00FD1DB0">
          <w:rPr>
            <w:webHidden/>
          </w:rPr>
          <w:fldChar w:fldCharType="separate"/>
        </w:r>
        <w:r w:rsidR="00FD1DB0">
          <w:rPr>
            <w:rStyle w:val="Sautdindex"/>
            <w:sz w:val="18"/>
            <w:szCs w:val="18"/>
          </w:rPr>
          <w:tab/>
          <w:t>4</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697">
        <w:r w:rsidR="00FD1DB0">
          <w:rPr>
            <w:rStyle w:val="Sautdindex"/>
            <w:rFonts w:cstheme="minorHAnsi"/>
            <w:webHidden/>
            <w:sz w:val="18"/>
            <w:szCs w:val="18"/>
          </w:rPr>
          <w:t>2.1.1.</w:t>
        </w:r>
        <w:r w:rsidR="00FD1DB0">
          <w:rPr>
            <w:rStyle w:val="Sautdindex"/>
            <w:rFonts w:eastAsiaTheme="minorEastAsia"/>
            <w:sz w:val="18"/>
            <w:szCs w:val="18"/>
            <w:lang w:val="fr-BE" w:eastAsia="fr-BE"/>
          </w:rPr>
          <w:tab/>
        </w:r>
        <w:r w:rsidR="00FD1DB0">
          <w:rPr>
            <w:rStyle w:val="Sautdindex"/>
            <w:rFonts w:cstheme="minorHAnsi"/>
            <w:sz w:val="18"/>
            <w:szCs w:val="18"/>
          </w:rPr>
          <w:t>AEO</w:t>
        </w:r>
        <w:r w:rsidR="00FD1DB0">
          <w:rPr>
            <w:webHidden/>
          </w:rPr>
          <w:fldChar w:fldCharType="begin"/>
        </w:r>
        <w:r w:rsidR="00FD1DB0">
          <w:rPr>
            <w:webHidden/>
          </w:rPr>
          <w:instrText>PAGEREF _Toc438135697 \h</w:instrText>
        </w:r>
        <w:r w:rsidR="00FD1DB0">
          <w:rPr>
            <w:webHidden/>
          </w:rPr>
        </w:r>
        <w:r w:rsidR="00FD1DB0">
          <w:rPr>
            <w:webHidden/>
          </w:rPr>
          <w:fldChar w:fldCharType="separate"/>
        </w:r>
        <w:r w:rsidR="00FD1DB0">
          <w:rPr>
            <w:rStyle w:val="Sautdindex"/>
            <w:sz w:val="18"/>
            <w:szCs w:val="18"/>
          </w:rPr>
          <w:tab/>
          <w:t>4</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698">
        <w:r w:rsidR="00FD1DB0">
          <w:rPr>
            <w:rStyle w:val="Sautdindex"/>
            <w:rFonts w:cstheme="minorHAnsi"/>
            <w:webHidden/>
            <w:sz w:val="18"/>
            <w:szCs w:val="18"/>
          </w:rPr>
          <w:t>2.2.</w:t>
        </w:r>
        <w:r w:rsidR="00FD1DB0">
          <w:rPr>
            <w:rStyle w:val="Sautdindex"/>
            <w:rFonts w:eastAsiaTheme="minorEastAsia"/>
            <w:sz w:val="18"/>
            <w:szCs w:val="18"/>
            <w:lang w:val="fr-BE" w:eastAsia="fr-BE"/>
          </w:rPr>
          <w:tab/>
        </w:r>
        <w:r w:rsidR="00FD1DB0">
          <w:rPr>
            <w:rStyle w:val="Sautdindex"/>
            <w:rFonts w:cstheme="minorHAnsi"/>
            <w:sz w:val="18"/>
            <w:szCs w:val="18"/>
          </w:rPr>
          <w:t>Titel II: Factoren die ten grondslag liggen aan de toepassing van in- of uitvoerrechten en andere maatregelen waaraan het goederenverkeer is onderworpen.</w:t>
        </w:r>
        <w:r w:rsidR="00FD1DB0">
          <w:rPr>
            <w:webHidden/>
          </w:rPr>
          <w:fldChar w:fldCharType="begin"/>
        </w:r>
        <w:r w:rsidR="00FD1DB0">
          <w:rPr>
            <w:webHidden/>
          </w:rPr>
          <w:instrText>PAGEREF _Toc438135698 \h</w:instrText>
        </w:r>
        <w:r w:rsidR="00FD1DB0">
          <w:rPr>
            <w:webHidden/>
          </w:rPr>
        </w:r>
        <w:r w:rsidR="00FD1DB0">
          <w:rPr>
            <w:webHidden/>
          </w:rPr>
          <w:fldChar w:fldCharType="separate"/>
        </w:r>
        <w:r w:rsidR="00FD1DB0">
          <w:rPr>
            <w:rStyle w:val="Sautdindex"/>
            <w:sz w:val="18"/>
            <w:szCs w:val="18"/>
          </w:rPr>
          <w:tab/>
          <w:t>6</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699">
        <w:r w:rsidR="00FD1DB0">
          <w:rPr>
            <w:rStyle w:val="Sautdindex"/>
            <w:rFonts w:cstheme="minorHAnsi"/>
            <w:webHidden/>
            <w:sz w:val="18"/>
            <w:szCs w:val="18"/>
          </w:rPr>
          <w:t>2.2.1.</w:t>
        </w:r>
        <w:r w:rsidR="00FD1DB0">
          <w:rPr>
            <w:rStyle w:val="Sautdindex"/>
            <w:rFonts w:eastAsiaTheme="minorEastAsia"/>
            <w:sz w:val="18"/>
            <w:szCs w:val="18"/>
            <w:lang w:val="fr-BE" w:eastAsia="fr-BE"/>
          </w:rPr>
          <w:tab/>
        </w:r>
        <w:r w:rsidR="00FD1DB0">
          <w:rPr>
            <w:rStyle w:val="Sautdindex"/>
            <w:rFonts w:cstheme="minorHAnsi"/>
            <w:sz w:val="18"/>
            <w:szCs w:val="18"/>
          </w:rPr>
          <w:t>Bindende tariefinlichting (BTI)</w:t>
        </w:r>
        <w:r w:rsidR="00FD1DB0">
          <w:rPr>
            <w:webHidden/>
          </w:rPr>
          <w:fldChar w:fldCharType="begin"/>
        </w:r>
        <w:r w:rsidR="00FD1DB0">
          <w:rPr>
            <w:webHidden/>
          </w:rPr>
          <w:instrText>PAGEREF _Toc438135699 \h</w:instrText>
        </w:r>
        <w:r w:rsidR="00FD1DB0">
          <w:rPr>
            <w:webHidden/>
          </w:rPr>
        </w:r>
        <w:r w:rsidR="00FD1DB0">
          <w:rPr>
            <w:webHidden/>
          </w:rPr>
          <w:fldChar w:fldCharType="separate"/>
        </w:r>
        <w:r w:rsidR="00FD1DB0">
          <w:rPr>
            <w:rStyle w:val="Sautdindex"/>
            <w:sz w:val="18"/>
            <w:szCs w:val="18"/>
          </w:rPr>
          <w:tab/>
          <w:t>6</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00">
        <w:r w:rsidR="00FD1DB0">
          <w:rPr>
            <w:rStyle w:val="Sautdindex"/>
            <w:rFonts w:cstheme="minorHAnsi"/>
            <w:webHidden/>
            <w:sz w:val="18"/>
            <w:szCs w:val="18"/>
          </w:rPr>
          <w:t>2.2.2.</w:t>
        </w:r>
        <w:r w:rsidR="00FD1DB0">
          <w:rPr>
            <w:rStyle w:val="Sautdindex"/>
            <w:rFonts w:eastAsiaTheme="minorEastAsia"/>
            <w:sz w:val="18"/>
            <w:szCs w:val="18"/>
            <w:lang w:val="fr-BE" w:eastAsia="fr-BE"/>
          </w:rPr>
          <w:tab/>
        </w:r>
        <w:r w:rsidR="00FD1DB0">
          <w:rPr>
            <w:rStyle w:val="Sautdindex"/>
            <w:rFonts w:cstheme="minorHAnsi"/>
            <w:sz w:val="18"/>
            <w:szCs w:val="18"/>
          </w:rPr>
          <w:t>Oorsprong</w:t>
        </w:r>
        <w:r w:rsidR="00FD1DB0">
          <w:rPr>
            <w:webHidden/>
          </w:rPr>
          <w:fldChar w:fldCharType="begin"/>
        </w:r>
        <w:r w:rsidR="00FD1DB0">
          <w:rPr>
            <w:webHidden/>
          </w:rPr>
          <w:instrText>PAGEREF _Toc438135700 \h</w:instrText>
        </w:r>
        <w:r w:rsidR="00FD1DB0">
          <w:rPr>
            <w:webHidden/>
          </w:rPr>
        </w:r>
        <w:r w:rsidR="00FD1DB0">
          <w:rPr>
            <w:webHidden/>
          </w:rPr>
          <w:fldChar w:fldCharType="separate"/>
        </w:r>
        <w:r w:rsidR="00FD1DB0">
          <w:rPr>
            <w:rStyle w:val="Sautdindex"/>
            <w:sz w:val="18"/>
            <w:szCs w:val="18"/>
          </w:rPr>
          <w:tab/>
          <w:t>7</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01">
        <w:r w:rsidR="00FD1DB0">
          <w:rPr>
            <w:rStyle w:val="Sautdindex"/>
            <w:rFonts w:cstheme="minorHAnsi"/>
            <w:webHidden/>
            <w:sz w:val="18"/>
            <w:szCs w:val="18"/>
          </w:rPr>
          <w:t>2.2.3.</w:t>
        </w:r>
        <w:r w:rsidR="00FD1DB0">
          <w:rPr>
            <w:rStyle w:val="Sautdindex"/>
            <w:rFonts w:eastAsiaTheme="minorEastAsia"/>
            <w:sz w:val="18"/>
            <w:szCs w:val="18"/>
            <w:lang w:val="fr-BE" w:eastAsia="fr-BE"/>
          </w:rPr>
          <w:tab/>
        </w:r>
        <w:r w:rsidR="00FD1DB0">
          <w:rPr>
            <w:rStyle w:val="Sautdindex"/>
            <w:rFonts w:cstheme="minorHAnsi"/>
            <w:sz w:val="18"/>
            <w:szCs w:val="18"/>
          </w:rPr>
          <w:t>Douanewaarde</w:t>
        </w:r>
        <w:r w:rsidR="00FD1DB0">
          <w:rPr>
            <w:webHidden/>
          </w:rPr>
          <w:fldChar w:fldCharType="begin"/>
        </w:r>
        <w:r w:rsidR="00FD1DB0">
          <w:rPr>
            <w:webHidden/>
          </w:rPr>
          <w:instrText>PAGEREF _Toc438135701 \h</w:instrText>
        </w:r>
        <w:r w:rsidR="00FD1DB0">
          <w:rPr>
            <w:webHidden/>
          </w:rPr>
        </w:r>
        <w:r w:rsidR="00FD1DB0">
          <w:rPr>
            <w:webHidden/>
          </w:rPr>
          <w:fldChar w:fldCharType="separate"/>
        </w:r>
        <w:r w:rsidR="00FD1DB0">
          <w:rPr>
            <w:rStyle w:val="Sautdindex"/>
            <w:sz w:val="18"/>
            <w:szCs w:val="18"/>
          </w:rPr>
          <w:tab/>
          <w:t>8</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02">
        <w:r w:rsidR="00FD1DB0">
          <w:rPr>
            <w:rStyle w:val="Sautdindex"/>
            <w:rFonts w:cstheme="minorHAnsi"/>
            <w:webHidden/>
            <w:sz w:val="18"/>
            <w:szCs w:val="18"/>
          </w:rPr>
          <w:t>2.2.4.</w:t>
        </w:r>
        <w:r w:rsidR="00FD1DB0">
          <w:rPr>
            <w:rStyle w:val="Sautdindex"/>
            <w:rFonts w:eastAsiaTheme="minorEastAsia"/>
            <w:sz w:val="18"/>
            <w:szCs w:val="18"/>
            <w:lang w:val="fr-BE" w:eastAsia="fr-BE"/>
          </w:rPr>
          <w:tab/>
        </w:r>
        <w:r w:rsidR="00FD1DB0">
          <w:rPr>
            <w:rStyle w:val="Sautdindex"/>
            <w:rFonts w:cstheme="minorHAnsi"/>
            <w:sz w:val="18"/>
            <w:szCs w:val="18"/>
          </w:rPr>
          <w:t>Royalties en licentierechten :</w:t>
        </w:r>
        <w:r w:rsidR="00FD1DB0">
          <w:rPr>
            <w:webHidden/>
          </w:rPr>
          <w:fldChar w:fldCharType="begin"/>
        </w:r>
        <w:r w:rsidR="00FD1DB0">
          <w:rPr>
            <w:webHidden/>
          </w:rPr>
          <w:instrText>PAGEREF _Toc438135702 \h</w:instrText>
        </w:r>
        <w:r w:rsidR="00FD1DB0">
          <w:rPr>
            <w:webHidden/>
          </w:rPr>
        </w:r>
        <w:r w:rsidR="00FD1DB0">
          <w:rPr>
            <w:webHidden/>
          </w:rPr>
          <w:fldChar w:fldCharType="separate"/>
        </w:r>
        <w:r w:rsidR="00FD1DB0">
          <w:rPr>
            <w:rStyle w:val="Sautdindex"/>
            <w:sz w:val="18"/>
            <w:szCs w:val="18"/>
          </w:rPr>
          <w:tab/>
          <w:t>9</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703">
        <w:r w:rsidR="00FD1DB0">
          <w:rPr>
            <w:rStyle w:val="Sautdindex"/>
            <w:rFonts w:cstheme="minorHAnsi"/>
            <w:webHidden/>
            <w:sz w:val="18"/>
            <w:szCs w:val="18"/>
          </w:rPr>
          <w:t>2.3.</w:t>
        </w:r>
        <w:r w:rsidR="00FD1DB0">
          <w:rPr>
            <w:rStyle w:val="Sautdindex"/>
            <w:rFonts w:eastAsiaTheme="minorEastAsia"/>
            <w:sz w:val="18"/>
            <w:szCs w:val="18"/>
            <w:lang w:val="fr-BE" w:eastAsia="fr-BE"/>
          </w:rPr>
          <w:tab/>
        </w:r>
        <w:r w:rsidR="00FD1DB0">
          <w:rPr>
            <w:rStyle w:val="Sautdindex"/>
            <w:rFonts w:cstheme="minorHAnsi"/>
            <w:sz w:val="18"/>
            <w:szCs w:val="18"/>
          </w:rPr>
          <w:t>Titel III: Douaneschuld en zekerheidstelling.</w:t>
        </w:r>
        <w:r w:rsidR="00FD1DB0">
          <w:rPr>
            <w:webHidden/>
          </w:rPr>
          <w:fldChar w:fldCharType="begin"/>
        </w:r>
        <w:r w:rsidR="00FD1DB0">
          <w:rPr>
            <w:webHidden/>
          </w:rPr>
          <w:instrText>PAGEREF _Toc438135703 \h</w:instrText>
        </w:r>
        <w:r w:rsidR="00FD1DB0">
          <w:rPr>
            <w:webHidden/>
          </w:rPr>
        </w:r>
        <w:r w:rsidR="00FD1DB0">
          <w:rPr>
            <w:webHidden/>
          </w:rPr>
          <w:fldChar w:fldCharType="separate"/>
        </w:r>
        <w:r w:rsidR="00FD1DB0">
          <w:rPr>
            <w:rStyle w:val="Sautdindex"/>
            <w:sz w:val="18"/>
            <w:szCs w:val="18"/>
          </w:rPr>
          <w:tab/>
          <w:t>10</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04">
        <w:r w:rsidR="00FD1DB0">
          <w:rPr>
            <w:rStyle w:val="Sautdindex"/>
            <w:rFonts w:cstheme="minorHAnsi"/>
            <w:webHidden/>
            <w:sz w:val="18"/>
            <w:szCs w:val="18"/>
          </w:rPr>
          <w:t>2.3.1.</w:t>
        </w:r>
        <w:r w:rsidR="00FD1DB0">
          <w:rPr>
            <w:rStyle w:val="Sautdindex"/>
            <w:rFonts w:eastAsiaTheme="minorEastAsia"/>
            <w:sz w:val="18"/>
            <w:szCs w:val="18"/>
            <w:lang w:val="fr-BE" w:eastAsia="fr-BE"/>
          </w:rPr>
          <w:tab/>
        </w:r>
        <w:r w:rsidR="00FD1DB0">
          <w:rPr>
            <w:rStyle w:val="Sautdindex"/>
            <w:rFonts w:cstheme="minorHAnsi"/>
            <w:sz w:val="18"/>
            <w:szCs w:val="18"/>
          </w:rPr>
          <w:t>Zekerheidstelling</w:t>
        </w:r>
        <w:r w:rsidR="00FD1DB0">
          <w:rPr>
            <w:webHidden/>
          </w:rPr>
          <w:fldChar w:fldCharType="begin"/>
        </w:r>
        <w:r w:rsidR="00FD1DB0">
          <w:rPr>
            <w:webHidden/>
          </w:rPr>
          <w:instrText>PAGEREF _Toc438135704 \h</w:instrText>
        </w:r>
        <w:r w:rsidR="00FD1DB0">
          <w:rPr>
            <w:webHidden/>
          </w:rPr>
        </w:r>
        <w:r w:rsidR="00FD1DB0">
          <w:rPr>
            <w:webHidden/>
          </w:rPr>
          <w:fldChar w:fldCharType="separate"/>
        </w:r>
        <w:r w:rsidR="00FD1DB0">
          <w:rPr>
            <w:rStyle w:val="Sautdindex"/>
            <w:sz w:val="18"/>
            <w:szCs w:val="18"/>
          </w:rPr>
          <w:tab/>
          <w:t>10</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705">
        <w:r w:rsidR="00FD1DB0">
          <w:rPr>
            <w:rStyle w:val="Sautdindex"/>
            <w:rFonts w:cstheme="minorHAnsi"/>
            <w:webHidden/>
            <w:sz w:val="18"/>
            <w:szCs w:val="18"/>
          </w:rPr>
          <w:t>2.4.</w:t>
        </w:r>
        <w:r w:rsidR="00FD1DB0">
          <w:rPr>
            <w:rStyle w:val="Sautdindex"/>
            <w:rFonts w:eastAsiaTheme="minorEastAsia"/>
            <w:sz w:val="18"/>
            <w:szCs w:val="18"/>
            <w:lang w:val="fr-BE" w:eastAsia="fr-BE"/>
          </w:rPr>
          <w:tab/>
        </w:r>
        <w:r w:rsidR="00FD1DB0">
          <w:rPr>
            <w:rStyle w:val="Sautdindex"/>
            <w:rFonts w:cstheme="minorHAnsi"/>
            <w:sz w:val="18"/>
            <w:szCs w:val="18"/>
          </w:rPr>
          <w:t>Titel IV: Het binnenbrengen van goederen in het douanegebied van de Unie.</w:t>
        </w:r>
        <w:r w:rsidR="00FD1DB0">
          <w:rPr>
            <w:webHidden/>
          </w:rPr>
          <w:fldChar w:fldCharType="begin"/>
        </w:r>
        <w:r w:rsidR="00FD1DB0">
          <w:rPr>
            <w:webHidden/>
          </w:rPr>
          <w:instrText>PAGEREF _Toc438135705 \h</w:instrText>
        </w:r>
        <w:r w:rsidR="00FD1DB0">
          <w:rPr>
            <w:webHidden/>
          </w:rPr>
        </w:r>
        <w:r w:rsidR="00FD1DB0">
          <w:rPr>
            <w:webHidden/>
          </w:rPr>
          <w:fldChar w:fldCharType="separate"/>
        </w:r>
        <w:r w:rsidR="00FD1DB0">
          <w:rPr>
            <w:rStyle w:val="Sautdindex"/>
            <w:sz w:val="18"/>
            <w:szCs w:val="18"/>
          </w:rPr>
          <w:tab/>
          <w:t>11</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06">
        <w:r w:rsidR="00FD1DB0">
          <w:rPr>
            <w:rStyle w:val="Sautdindex"/>
            <w:rFonts w:cstheme="minorHAnsi"/>
            <w:webHidden/>
            <w:sz w:val="18"/>
            <w:szCs w:val="18"/>
          </w:rPr>
          <w:t>2.4.1.</w:t>
        </w:r>
        <w:r w:rsidR="00FD1DB0">
          <w:rPr>
            <w:rStyle w:val="Sautdindex"/>
            <w:rFonts w:eastAsiaTheme="minorEastAsia"/>
            <w:sz w:val="18"/>
            <w:szCs w:val="18"/>
            <w:lang w:val="fr-BE" w:eastAsia="fr-BE"/>
          </w:rPr>
          <w:tab/>
        </w:r>
        <w:r w:rsidR="00FD1DB0">
          <w:rPr>
            <w:rStyle w:val="Sautdindex"/>
            <w:rFonts w:cstheme="minorHAnsi"/>
            <w:sz w:val="18"/>
            <w:szCs w:val="18"/>
          </w:rPr>
          <w:t>Summiere aangifte tot binenbrengen.</w:t>
        </w:r>
        <w:r w:rsidR="00FD1DB0">
          <w:rPr>
            <w:webHidden/>
          </w:rPr>
          <w:fldChar w:fldCharType="begin"/>
        </w:r>
        <w:r w:rsidR="00FD1DB0">
          <w:rPr>
            <w:webHidden/>
          </w:rPr>
          <w:instrText>PAGEREF _Toc438135706 \h</w:instrText>
        </w:r>
        <w:r w:rsidR="00FD1DB0">
          <w:rPr>
            <w:webHidden/>
          </w:rPr>
        </w:r>
        <w:r w:rsidR="00FD1DB0">
          <w:rPr>
            <w:webHidden/>
          </w:rPr>
          <w:fldChar w:fldCharType="separate"/>
        </w:r>
        <w:r w:rsidR="00FD1DB0">
          <w:rPr>
            <w:rStyle w:val="Sautdindex"/>
            <w:sz w:val="18"/>
            <w:szCs w:val="18"/>
          </w:rPr>
          <w:tab/>
          <w:t>11</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07">
        <w:r w:rsidR="00FD1DB0">
          <w:rPr>
            <w:rStyle w:val="Sautdindex"/>
            <w:rFonts w:cstheme="minorHAnsi"/>
            <w:webHidden/>
            <w:sz w:val="18"/>
            <w:szCs w:val="18"/>
          </w:rPr>
          <w:t>2.4.2.</w:t>
        </w:r>
        <w:r w:rsidR="00FD1DB0">
          <w:rPr>
            <w:rStyle w:val="Sautdindex"/>
            <w:rFonts w:eastAsiaTheme="minorEastAsia"/>
            <w:sz w:val="18"/>
            <w:szCs w:val="18"/>
            <w:lang w:val="fr-BE" w:eastAsia="fr-BE"/>
          </w:rPr>
          <w:tab/>
        </w:r>
        <w:r w:rsidR="00FD1DB0">
          <w:rPr>
            <w:rStyle w:val="Sautdindex"/>
            <w:rFonts w:cstheme="minorHAnsi"/>
            <w:sz w:val="18"/>
            <w:szCs w:val="18"/>
          </w:rPr>
          <w:t>Tijdelijke opslag</w:t>
        </w:r>
        <w:r w:rsidR="00FD1DB0">
          <w:rPr>
            <w:webHidden/>
          </w:rPr>
          <w:fldChar w:fldCharType="begin"/>
        </w:r>
        <w:r w:rsidR="00FD1DB0">
          <w:rPr>
            <w:webHidden/>
          </w:rPr>
          <w:instrText>PAGEREF _Toc438135707 \h</w:instrText>
        </w:r>
        <w:r w:rsidR="00FD1DB0">
          <w:rPr>
            <w:webHidden/>
          </w:rPr>
        </w:r>
        <w:r w:rsidR="00FD1DB0">
          <w:rPr>
            <w:webHidden/>
          </w:rPr>
          <w:fldChar w:fldCharType="separate"/>
        </w:r>
        <w:r w:rsidR="00FD1DB0">
          <w:rPr>
            <w:rStyle w:val="Sautdindex"/>
            <w:sz w:val="18"/>
            <w:szCs w:val="18"/>
          </w:rPr>
          <w:tab/>
          <w:t>11</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708">
        <w:r w:rsidR="00FD1DB0">
          <w:rPr>
            <w:rStyle w:val="Sautdindex"/>
            <w:rFonts w:cstheme="minorHAnsi"/>
            <w:webHidden/>
            <w:sz w:val="18"/>
            <w:szCs w:val="18"/>
          </w:rPr>
          <w:t>2.5.</w:t>
        </w:r>
        <w:r w:rsidR="00FD1DB0">
          <w:rPr>
            <w:rStyle w:val="Sautdindex"/>
            <w:rFonts w:eastAsiaTheme="minorEastAsia"/>
            <w:sz w:val="18"/>
            <w:szCs w:val="18"/>
            <w:lang w:val="fr-BE" w:eastAsia="fr-BE"/>
          </w:rPr>
          <w:tab/>
        </w:r>
        <w:r w:rsidR="00FD1DB0">
          <w:rPr>
            <w:rStyle w:val="Sautdindex"/>
            <w:rFonts w:cstheme="minorHAnsi"/>
            <w:sz w:val="18"/>
            <w:szCs w:val="18"/>
          </w:rPr>
          <w:t>Titel V: Algemene voorschriften betreffende douanestatus, plaatsing van de goederen onder een douaneregeling, verificatie, vrijgave en verwijdering van goederen.</w:t>
        </w:r>
        <w:r w:rsidR="00FD1DB0">
          <w:rPr>
            <w:webHidden/>
          </w:rPr>
          <w:fldChar w:fldCharType="begin"/>
        </w:r>
        <w:r w:rsidR="00FD1DB0">
          <w:rPr>
            <w:webHidden/>
          </w:rPr>
          <w:instrText>PAGEREF _Toc438135708 \h</w:instrText>
        </w:r>
        <w:r w:rsidR="00FD1DB0">
          <w:rPr>
            <w:webHidden/>
          </w:rPr>
        </w:r>
        <w:r w:rsidR="00FD1DB0">
          <w:rPr>
            <w:webHidden/>
          </w:rPr>
          <w:fldChar w:fldCharType="separate"/>
        </w:r>
        <w:r w:rsidR="00FD1DB0">
          <w:rPr>
            <w:rStyle w:val="Sautdindex"/>
            <w:sz w:val="18"/>
            <w:szCs w:val="18"/>
          </w:rPr>
          <w:tab/>
          <w:t>13</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09">
        <w:r w:rsidR="00FD1DB0">
          <w:rPr>
            <w:rStyle w:val="Sautdindex"/>
            <w:rFonts w:cstheme="minorHAnsi"/>
            <w:webHidden/>
            <w:sz w:val="18"/>
            <w:szCs w:val="18"/>
          </w:rPr>
          <w:t>2.5.1.</w:t>
        </w:r>
        <w:r w:rsidR="00FD1DB0">
          <w:rPr>
            <w:rStyle w:val="Sautdindex"/>
            <w:rFonts w:eastAsiaTheme="minorEastAsia"/>
            <w:sz w:val="18"/>
            <w:szCs w:val="18"/>
            <w:lang w:val="fr-BE" w:eastAsia="fr-BE"/>
          </w:rPr>
          <w:tab/>
        </w:r>
        <w:r w:rsidR="00FD1DB0">
          <w:rPr>
            <w:rStyle w:val="Sautdindex"/>
            <w:rFonts w:cstheme="minorHAnsi"/>
            <w:sz w:val="18"/>
            <w:szCs w:val="18"/>
          </w:rPr>
          <w:t>Douanestatus</w:t>
        </w:r>
        <w:r w:rsidR="00FD1DB0">
          <w:rPr>
            <w:webHidden/>
          </w:rPr>
          <w:fldChar w:fldCharType="begin"/>
        </w:r>
        <w:r w:rsidR="00FD1DB0">
          <w:rPr>
            <w:webHidden/>
          </w:rPr>
          <w:instrText>PAGEREF _Toc438135709 \h</w:instrText>
        </w:r>
        <w:r w:rsidR="00FD1DB0">
          <w:rPr>
            <w:webHidden/>
          </w:rPr>
        </w:r>
        <w:r w:rsidR="00FD1DB0">
          <w:rPr>
            <w:webHidden/>
          </w:rPr>
          <w:fldChar w:fldCharType="separate"/>
        </w:r>
        <w:r w:rsidR="00FD1DB0">
          <w:rPr>
            <w:rStyle w:val="Sautdindex"/>
            <w:sz w:val="18"/>
            <w:szCs w:val="18"/>
          </w:rPr>
          <w:tab/>
          <w:t>13</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10">
        <w:r w:rsidR="00FD1DB0">
          <w:rPr>
            <w:rStyle w:val="Sautdindex"/>
            <w:webHidden/>
            <w:sz w:val="18"/>
            <w:szCs w:val="18"/>
          </w:rPr>
          <w:t>2.5.2.</w:t>
        </w:r>
        <w:r w:rsidR="00FD1DB0">
          <w:rPr>
            <w:rStyle w:val="Sautdindex"/>
            <w:rFonts w:eastAsiaTheme="minorEastAsia"/>
            <w:sz w:val="18"/>
            <w:szCs w:val="18"/>
            <w:lang w:val="fr-BE" w:eastAsia="fr-BE"/>
          </w:rPr>
          <w:tab/>
        </w:r>
        <w:r w:rsidR="00FD1DB0">
          <w:rPr>
            <w:rStyle w:val="Sautdindex"/>
            <w:sz w:val="18"/>
            <w:szCs w:val="18"/>
          </w:rPr>
          <w:t>Vereenvoudigde procedures</w:t>
        </w:r>
        <w:r w:rsidR="00FD1DB0">
          <w:rPr>
            <w:webHidden/>
          </w:rPr>
          <w:fldChar w:fldCharType="begin"/>
        </w:r>
        <w:r w:rsidR="00FD1DB0">
          <w:rPr>
            <w:webHidden/>
          </w:rPr>
          <w:instrText>PAGEREF _Toc438135710 \h</w:instrText>
        </w:r>
        <w:r w:rsidR="00FD1DB0">
          <w:rPr>
            <w:webHidden/>
          </w:rPr>
        </w:r>
        <w:r w:rsidR="00FD1DB0">
          <w:rPr>
            <w:webHidden/>
          </w:rPr>
          <w:fldChar w:fldCharType="separate"/>
        </w:r>
        <w:r w:rsidR="00FD1DB0">
          <w:rPr>
            <w:rStyle w:val="Sautdindex"/>
            <w:sz w:val="18"/>
            <w:szCs w:val="18"/>
          </w:rPr>
          <w:tab/>
          <w:t>13</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711">
        <w:r w:rsidR="00FD1DB0">
          <w:rPr>
            <w:rStyle w:val="Sautdindex"/>
            <w:rFonts w:cstheme="minorHAnsi"/>
            <w:webHidden/>
            <w:sz w:val="18"/>
            <w:szCs w:val="18"/>
          </w:rPr>
          <w:t>2.6.</w:t>
        </w:r>
        <w:r w:rsidR="00FD1DB0">
          <w:rPr>
            <w:rStyle w:val="Sautdindex"/>
            <w:rFonts w:eastAsiaTheme="minorEastAsia"/>
            <w:sz w:val="18"/>
            <w:szCs w:val="18"/>
            <w:lang w:val="fr-BE" w:eastAsia="fr-BE"/>
          </w:rPr>
          <w:tab/>
        </w:r>
        <w:r w:rsidR="00FD1DB0">
          <w:rPr>
            <w:rStyle w:val="Sautdindex"/>
            <w:rFonts w:cstheme="minorHAnsi"/>
            <w:sz w:val="18"/>
            <w:szCs w:val="18"/>
          </w:rPr>
          <w:t>Titel VI: In het vrije verkeer brengen en vrijstelling van invoerrechten.</w:t>
        </w:r>
        <w:r w:rsidR="00FD1DB0">
          <w:rPr>
            <w:webHidden/>
          </w:rPr>
          <w:fldChar w:fldCharType="begin"/>
        </w:r>
        <w:r w:rsidR="00FD1DB0">
          <w:rPr>
            <w:webHidden/>
          </w:rPr>
          <w:instrText>PAGEREF _Toc438135711 \h</w:instrText>
        </w:r>
        <w:r w:rsidR="00FD1DB0">
          <w:rPr>
            <w:webHidden/>
          </w:rPr>
        </w:r>
        <w:r w:rsidR="00FD1DB0">
          <w:rPr>
            <w:webHidden/>
          </w:rPr>
          <w:fldChar w:fldCharType="separate"/>
        </w:r>
        <w:r w:rsidR="00FD1DB0">
          <w:rPr>
            <w:rStyle w:val="Sautdindex"/>
            <w:sz w:val="18"/>
            <w:szCs w:val="18"/>
          </w:rPr>
          <w:tab/>
          <w:t>15</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712">
        <w:r w:rsidR="00FD1DB0">
          <w:rPr>
            <w:rStyle w:val="Sautdindex"/>
            <w:rFonts w:cstheme="minorHAnsi"/>
            <w:webHidden/>
            <w:sz w:val="18"/>
            <w:szCs w:val="18"/>
          </w:rPr>
          <w:t>2.7.</w:t>
        </w:r>
        <w:r w:rsidR="00FD1DB0">
          <w:rPr>
            <w:rStyle w:val="Sautdindex"/>
            <w:rFonts w:eastAsiaTheme="minorEastAsia"/>
            <w:sz w:val="18"/>
            <w:szCs w:val="18"/>
            <w:lang w:val="fr-BE" w:eastAsia="fr-BE"/>
          </w:rPr>
          <w:tab/>
        </w:r>
        <w:r w:rsidR="00FD1DB0">
          <w:rPr>
            <w:rStyle w:val="Sautdindex"/>
            <w:rFonts w:cstheme="minorHAnsi"/>
            <w:sz w:val="18"/>
            <w:szCs w:val="18"/>
          </w:rPr>
          <w:t>Titel VII: Bijzondere regelingen.</w:t>
        </w:r>
        <w:r w:rsidR="00FD1DB0">
          <w:rPr>
            <w:webHidden/>
          </w:rPr>
          <w:fldChar w:fldCharType="begin"/>
        </w:r>
        <w:r w:rsidR="00FD1DB0">
          <w:rPr>
            <w:webHidden/>
          </w:rPr>
          <w:instrText>PAGEREF _Toc438135712 \h</w:instrText>
        </w:r>
        <w:r w:rsidR="00FD1DB0">
          <w:rPr>
            <w:webHidden/>
          </w:rPr>
        </w:r>
        <w:r w:rsidR="00FD1DB0">
          <w:rPr>
            <w:webHidden/>
          </w:rPr>
          <w:fldChar w:fldCharType="separate"/>
        </w:r>
        <w:r w:rsidR="00FD1DB0">
          <w:rPr>
            <w:rStyle w:val="Sautdindex"/>
            <w:sz w:val="18"/>
            <w:szCs w:val="18"/>
          </w:rPr>
          <w:tab/>
          <w:t>16</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13">
        <w:r w:rsidR="00FD1DB0">
          <w:rPr>
            <w:rStyle w:val="Sautdindex"/>
            <w:rFonts w:cstheme="minorHAnsi"/>
            <w:webHidden/>
            <w:sz w:val="18"/>
            <w:szCs w:val="18"/>
          </w:rPr>
          <w:t>2.7.1.</w:t>
        </w:r>
        <w:r w:rsidR="00FD1DB0">
          <w:rPr>
            <w:rStyle w:val="Sautdindex"/>
            <w:rFonts w:eastAsiaTheme="minorEastAsia"/>
            <w:sz w:val="18"/>
            <w:szCs w:val="18"/>
            <w:lang w:val="fr-BE" w:eastAsia="fr-BE"/>
          </w:rPr>
          <w:tab/>
        </w:r>
        <w:r w:rsidR="00FD1DB0">
          <w:rPr>
            <w:rStyle w:val="Sautdindex"/>
            <w:rFonts w:cstheme="minorHAnsi"/>
            <w:sz w:val="18"/>
            <w:szCs w:val="18"/>
          </w:rPr>
          <w:t>Algemeen bepalingen</w:t>
        </w:r>
        <w:r w:rsidR="00FD1DB0">
          <w:rPr>
            <w:webHidden/>
          </w:rPr>
          <w:fldChar w:fldCharType="begin"/>
        </w:r>
        <w:r w:rsidR="00FD1DB0">
          <w:rPr>
            <w:webHidden/>
          </w:rPr>
          <w:instrText>PAGEREF _Toc438135713 \h</w:instrText>
        </w:r>
        <w:r w:rsidR="00FD1DB0">
          <w:rPr>
            <w:webHidden/>
          </w:rPr>
        </w:r>
        <w:r w:rsidR="00FD1DB0">
          <w:rPr>
            <w:webHidden/>
          </w:rPr>
          <w:fldChar w:fldCharType="separate"/>
        </w:r>
        <w:r w:rsidR="00FD1DB0">
          <w:rPr>
            <w:rStyle w:val="Sautdindex"/>
            <w:sz w:val="18"/>
            <w:szCs w:val="18"/>
          </w:rPr>
          <w:tab/>
          <w:t>16</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14">
        <w:r w:rsidR="00FD1DB0">
          <w:rPr>
            <w:rStyle w:val="Sautdindex"/>
            <w:rFonts w:cstheme="minorHAnsi"/>
            <w:webHidden/>
            <w:sz w:val="18"/>
            <w:szCs w:val="18"/>
          </w:rPr>
          <w:t>2.7.2.</w:t>
        </w:r>
        <w:r w:rsidR="00FD1DB0">
          <w:rPr>
            <w:rStyle w:val="Sautdindex"/>
            <w:rFonts w:eastAsiaTheme="minorEastAsia"/>
            <w:sz w:val="18"/>
            <w:szCs w:val="18"/>
            <w:lang w:val="fr-BE" w:eastAsia="fr-BE"/>
          </w:rPr>
          <w:tab/>
        </w:r>
        <w:r w:rsidR="00FD1DB0">
          <w:rPr>
            <w:rStyle w:val="Sautdindex"/>
            <w:rFonts w:cstheme="minorHAnsi"/>
            <w:sz w:val="18"/>
            <w:szCs w:val="18"/>
          </w:rPr>
          <w:t>Douanevervoer</w:t>
        </w:r>
        <w:r w:rsidR="00FD1DB0">
          <w:rPr>
            <w:webHidden/>
          </w:rPr>
          <w:fldChar w:fldCharType="begin"/>
        </w:r>
        <w:r w:rsidR="00FD1DB0">
          <w:rPr>
            <w:webHidden/>
          </w:rPr>
          <w:instrText>PAGEREF _Toc438135714 \h</w:instrText>
        </w:r>
        <w:r w:rsidR="00FD1DB0">
          <w:rPr>
            <w:webHidden/>
          </w:rPr>
        </w:r>
        <w:r w:rsidR="00FD1DB0">
          <w:rPr>
            <w:webHidden/>
          </w:rPr>
          <w:fldChar w:fldCharType="separate"/>
        </w:r>
        <w:r w:rsidR="00FD1DB0">
          <w:rPr>
            <w:rStyle w:val="Sautdindex"/>
            <w:sz w:val="18"/>
            <w:szCs w:val="18"/>
          </w:rPr>
          <w:tab/>
          <w:t>16</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15">
        <w:r w:rsidR="00FD1DB0">
          <w:rPr>
            <w:rStyle w:val="Sautdindex"/>
            <w:rFonts w:cstheme="minorHAnsi"/>
            <w:webHidden/>
            <w:sz w:val="18"/>
            <w:szCs w:val="18"/>
          </w:rPr>
          <w:t>2.7.3.</w:t>
        </w:r>
        <w:r w:rsidR="00FD1DB0">
          <w:rPr>
            <w:rStyle w:val="Sautdindex"/>
            <w:rFonts w:eastAsiaTheme="minorEastAsia"/>
            <w:sz w:val="18"/>
            <w:szCs w:val="18"/>
            <w:lang w:val="fr-BE" w:eastAsia="fr-BE"/>
          </w:rPr>
          <w:tab/>
        </w:r>
        <w:r w:rsidR="00FD1DB0">
          <w:rPr>
            <w:rStyle w:val="Sautdindex"/>
            <w:rFonts w:cstheme="minorHAnsi"/>
            <w:sz w:val="18"/>
            <w:szCs w:val="18"/>
          </w:rPr>
          <w:t>Douane-entrepots</w:t>
        </w:r>
        <w:r w:rsidR="00FD1DB0">
          <w:rPr>
            <w:webHidden/>
          </w:rPr>
          <w:fldChar w:fldCharType="begin"/>
        </w:r>
        <w:r w:rsidR="00FD1DB0">
          <w:rPr>
            <w:webHidden/>
          </w:rPr>
          <w:instrText>PAGEREF _Toc438135715 \h</w:instrText>
        </w:r>
        <w:r w:rsidR="00FD1DB0">
          <w:rPr>
            <w:webHidden/>
          </w:rPr>
        </w:r>
        <w:r w:rsidR="00FD1DB0">
          <w:rPr>
            <w:webHidden/>
          </w:rPr>
          <w:fldChar w:fldCharType="separate"/>
        </w:r>
        <w:r w:rsidR="00FD1DB0">
          <w:rPr>
            <w:rStyle w:val="Sautdindex"/>
            <w:sz w:val="18"/>
            <w:szCs w:val="18"/>
          </w:rPr>
          <w:tab/>
          <w:t>17</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16">
        <w:r w:rsidR="00FD1DB0">
          <w:rPr>
            <w:rStyle w:val="Sautdindex"/>
            <w:rFonts w:cstheme="minorHAnsi"/>
            <w:webHidden/>
            <w:sz w:val="18"/>
            <w:szCs w:val="18"/>
          </w:rPr>
          <w:t>2.7.4.</w:t>
        </w:r>
        <w:r w:rsidR="00FD1DB0">
          <w:rPr>
            <w:rStyle w:val="Sautdindex"/>
            <w:rFonts w:eastAsiaTheme="minorEastAsia"/>
            <w:sz w:val="18"/>
            <w:szCs w:val="18"/>
            <w:lang w:val="fr-BE" w:eastAsia="fr-BE"/>
          </w:rPr>
          <w:tab/>
        </w:r>
        <w:r w:rsidR="00FD1DB0">
          <w:rPr>
            <w:rStyle w:val="Sautdindex"/>
            <w:rFonts w:cstheme="minorHAnsi"/>
            <w:sz w:val="18"/>
            <w:szCs w:val="18"/>
          </w:rPr>
          <w:t>Actieve veredeling</w:t>
        </w:r>
        <w:r w:rsidR="00FD1DB0">
          <w:rPr>
            <w:webHidden/>
          </w:rPr>
          <w:fldChar w:fldCharType="begin"/>
        </w:r>
        <w:r w:rsidR="00FD1DB0">
          <w:rPr>
            <w:webHidden/>
          </w:rPr>
          <w:instrText>PAGEREF _Toc438135716 \h</w:instrText>
        </w:r>
        <w:r w:rsidR="00FD1DB0">
          <w:rPr>
            <w:webHidden/>
          </w:rPr>
        </w:r>
        <w:r w:rsidR="00FD1DB0">
          <w:rPr>
            <w:webHidden/>
          </w:rPr>
          <w:fldChar w:fldCharType="separate"/>
        </w:r>
        <w:r w:rsidR="00FD1DB0">
          <w:rPr>
            <w:rStyle w:val="Sautdindex"/>
            <w:sz w:val="18"/>
            <w:szCs w:val="18"/>
          </w:rPr>
          <w:tab/>
          <w:t>18</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17">
        <w:r w:rsidR="00FD1DB0">
          <w:rPr>
            <w:rStyle w:val="Sautdindex"/>
            <w:rFonts w:cstheme="minorHAnsi"/>
            <w:webHidden/>
            <w:sz w:val="18"/>
            <w:szCs w:val="18"/>
          </w:rPr>
          <w:t>2.7.5.</w:t>
        </w:r>
        <w:r w:rsidR="00FD1DB0">
          <w:rPr>
            <w:rStyle w:val="Sautdindex"/>
            <w:rFonts w:eastAsiaTheme="minorEastAsia"/>
            <w:sz w:val="18"/>
            <w:szCs w:val="18"/>
            <w:lang w:val="fr-BE" w:eastAsia="fr-BE"/>
          </w:rPr>
          <w:tab/>
        </w:r>
        <w:r w:rsidR="00FD1DB0">
          <w:rPr>
            <w:rStyle w:val="Sautdindex"/>
            <w:rFonts w:cstheme="minorHAnsi"/>
            <w:sz w:val="18"/>
            <w:szCs w:val="18"/>
          </w:rPr>
          <w:t>Passieve veredeling</w:t>
        </w:r>
        <w:r w:rsidR="00FD1DB0">
          <w:rPr>
            <w:webHidden/>
          </w:rPr>
          <w:fldChar w:fldCharType="begin"/>
        </w:r>
        <w:r w:rsidR="00FD1DB0">
          <w:rPr>
            <w:webHidden/>
          </w:rPr>
          <w:instrText>PAGEREF _Toc438135717 \h</w:instrText>
        </w:r>
        <w:r w:rsidR="00FD1DB0">
          <w:rPr>
            <w:webHidden/>
          </w:rPr>
        </w:r>
        <w:r w:rsidR="00FD1DB0">
          <w:rPr>
            <w:webHidden/>
          </w:rPr>
          <w:fldChar w:fldCharType="separate"/>
        </w:r>
        <w:r w:rsidR="00FD1DB0">
          <w:rPr>
            <w:rStyle w:val="Sautdindex"/>
            <w:sz w:val="18"/>
            <w:szCs w:val="18"/>
          </w:rPr>
          <w:tab/>
          <w:t>19</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18">
        <w:r w:rsidR="00FD1DB0">
          <w:rPr>
            <w:rStyle w:val="Sautdindex"/>
            <w:rFonts w:cstheme="minorHAnsi"/>
            <w:webHidden/>
            <w:sz w:val="18"/>
            <w:szCs w:val="18"/>
          </w:rPr>
          <w:t>2.7.6.</w:t>
        </w:r>
        <w:r w:rsidR="00FD1DB0">
          <w:rPr>
            <w:rStyle w:val="Sautdindex"/>
            <w:rFonts w:eastAsiaTheme="minorEastAsia"/>
            <w:sz w:val="18"/>
            <w:szCs w:val="18"/>
            <w:lang w:val="fr-BE" w:eastAsia="fr-BE"/>
          </w:rPr>
          <w:tab/>
        </w:r>
        <w:r w:rsidR="00FD1DB0">
          <w:rPr>
            <w:rStyle w:val="Sautdindex"/>
            <w:rFonts w:cstheme="minorHAnsi"/>
            <w:sz w:val="18"/>
            <w:szCs w:val="18"/>
          </w:rPr>
          <w:t>Tijdelijke invoer</w:t>
        </w:r>
        <w:r w:rsidR="00FD1DB0">
          <w:rPr>
            <w:webHidden/>
          </w:rPr>
          <w:fldChar w:fldCharType="begin"/>
        </w:r>
        <w:r w:rsidR="00FD1DB0">
          <w:rPr>
            <w:webHidden/>
          </w:rPr>
          <w:instrText>PAGEREF _Toc438135718 \h</w:instrText>
        </w:r>
        <w:r w:rsidR="00FD1DB0">
          <w:rPr>
            <w:webHidden/>
          </w:rPr>
        </w:r>
        <w:r w:rsidR="00FD1DB0">
          <w:rPr>
            <w:webHidden/>
          </w:rPr>
          <w:fldChar w:fldCharType="separate"/>
        </w:r>
        <w:r w:rsidR="00FD1DB0">
          <w:rPr>
            <w:rStyle w:val="Sautdindex"/>
            <w:sz w:val="18"/>
            <w:szCs w:val="18"/>
          </w:rPr>
          <w:tab/>
          <w:t>19</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19">
        <w:r w:rsidR="00FD1DB0">
          <w:rPr>
            <w:rStyle w:val="Sautdindex"/>
            <w:rFonts w:cstheme="minorHAnsi"/>
            <w:webHidden/>
            <w:sz w:val="18"/>
            <w:szCs w:val="18"/>
          </w:rPr>
          <w:t>2.7.7.</w:t>
        </w:r>
        <w:r w:rsidR="00FD1DB0">
          <w:rPr>
            <w:rStyle w:val="Sautdindex"/>
            <w:rFonts w:eastAsiaTheme="minorEastAsia"/>
            <w:sz w:val="18"/>
            <w:szCs w:val="18"/>
            <w:lang w:val="fr-BE" w:eastAsia="fr-BE"/>
          </w:rPr>
          <w:tab/>
        </w:r>
        <w:r w:rsidR="00FD1DB0">
          <w:rPr>
            <w:rStyle w:val="Sautdindex"/>
            <w:rFonts w:cstheme="minorHAnsi"/>
            <w:sz w:val="18"/>
            <w:szCs w:val="18"/>
          </w:rPr>
          <w:t>Bijzondere bestemming</w:t>
        </w:r>
        <w:r w:rsidR="00FD1DB0">
          <w:rPr>
            <w:webHidden/>
          </w:rPr>
          <w:fldChar w:fldCharType="begin"/>
        </w:r>
        <w:r w:rsidR="00FD1DB0">
          <w:rPr>
            <w:webHidden/>
          </w:rPr>
          <w:instrText>PAGEREF _Toc438135719 \h</w:instrText>
        </w:r>
        <w:r w:rsidR="00FD1DB0">
          <w:rPr>
            <w:webHidden/>
          </w:rPr>
        </w:r>
        <w:r w:rsidR="00FD1DB0">
          <w:rPr>
            <w:webHidden/>
          </w:rPr>
          <w:fldChar w:fldCharType="separate"/>
        </w:r>
        <w:r w:rsidR="00FD1DB0">
          <w:rPr>
            <w:rStyle w:val="Sautdindex"/>
            <w:sz w:val="18"/>
            <w:szCs w:val="18"/>
          </w:rPr>
          <w:tab/>
          <w:t>21</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720">
        <w:r w:rsidR="00FD1DB0">
          <w:rPr>
            <w:rStyle w:val="Sautdindex"/>
            <w:rFonts w:cstheme="minorHAnsi"/>
            <w:webHidden/>
            <w:sz w:val="18"/>
            <w:szCs w:val="18"/>
          </w:rPr>
          <w:t>2.8.</w:t>
        </w:r>
        <w:r w:rsidR="00FD1DB0">
          <w:rPr>
            <w:rStyle w:val="Sautdindex"/>
            <w:rFonts w:eastAsiaTheme="minorEastAsia"/>
            <w:sz w:val="18"/>
            <w:szCs w:val="18"/>
            <w:lang w:val="fr-BE" w:eastAsia="fr-BE"/>
          </w:rPr>
          <w:tab/>
        </w:r>
        <w:r w:rsidR="00FD1DB0">
          <w:rPr>
            <w:rStyle w:val="Sautdindex"/>
            <w:rFonts w:cstheme="minorHAnsi"/>
            <w:sz w:val="18"/>
            <w:szCs w:val="18"/>
          </w:rPr>
          <w:t>Titel VIII: Goederen die het douanegebied van de Unie verlaten.</w:t>
        </w:r>
        <w:r w:rsidR="00FD1DB0">
          <w:rPr>
            <w:webHidden/>
          </w:rPr>
          <w:fldChar w:fldCharType="begin"/>
        </w:r>
        <w:r w:rsidR="00FD1DB0">
          <w:rPr>
            <w:webHidden/>
          </w:rPr>
          <w:instrText>PAGEREF _Toc438135720 \h</w:instrText>
        </w:r>
        <w:r w:rsidR="00FD1DB0">
          <w:rPr>
            <w:webHidden/>
          </w:rPr>
        </w:r>
        <w:r w:rsidR="00FD1DB0">
          <w:rPr>
            <w:webHidden/>
          </w:rPr>
          <w:fldChar w:fldCharType="separate"/>
        </w:r>
        <w:r w:rsidR="00FD1DB0">
          <w:rPr>
            <w:rStyle w:val="Sautdindex"/>
            <w:sz w:val="18"/>
            <w:szCs w:val="18"/>
          </w:rPr>
          <w:tab/>
          <w:t>21</w:t>
        </w:r>
        <w:r w:rsidR="00FD1DB0">
          <w:rPr>
            <w:webHidden/>
          </w:rPr>
          <w:fldChar w:fldCharType="end"/>
        </w:r>
      </w:hyperlink>
    </w:p>
    <w:p w:rsidR="00366217" w:rsidRDefault="00112066">
      <w:pPr>
        <w:pStyle w:val="Tabledesmatiresniveau2"/>
        <w:spacing w:line="240" w:lineRule="auto"/>
        <w:rPr>
          <w:rFonts w:eastAsiaTheme="minorEastAsia"/>
          <w:sz w:val="18"/>
          <w:szCs w:val="18"/>
          <w:lang w:val="fr-BE" w:eastAsia="fr-BE"/>
        </w:rPr>
      </w:pPr>
      <w:hyperlink w:anchor="_Toc438135721">
        <w:r w:rsidR="00FD1DB0">
          <w:rPr>
            <w:rStyle w:val="Sautdindex"/>
            <w:rFonts w:cstheme="minorHAnsi"/>
            <w:webHidden/>
            <w:sz w:val="18"/>
            <w:szCs w:val="18"/>
          </w:rPr>
          <w:t>2.9.</w:t>
        </w:r>
        <w:r w:rsidR="00FD1DB0">
          <w:rPr>
            <w:rStyle w:val="Sautdindex"/>
            <w:rFonts w:eastAsiaTheme="minorEastAsia"/>
            <w:sz w:val="18"/>
            <w:szCs w:val="18"/>
            <w:lang w:val="fr-BE" w:eastAsia="fr-BE"/>
          </w:rPr>
          <w:tab/>
        </w:r>
        <w:r w:rsidR="00FD1DB0">
          <w:rPr>
            <w:rStyle w:val="Sautdindex"/>
            <w:rFonts w:cstheme="minorHAnsi"/>
            <w:sz w:val="18"/>
            <w:szCs w:val="18"/>
          </w:rPr>
          <w:t>Titel IX: Slotbepalingen.</w:t>
        </w:r>
        <w:r w:rsidR="00FD1DB0">
          <w:rPr>
            <w:webHidden/>
          </w:rPr>
          <w:fldChar w:fldCharType="begin"/>
        </w:r>
        <w:r w:rsidR="00FD1DB0">
          <w:rPr>
            <w:webHidden/>
          </w:rPr>
          <w:instrText>PAGEREF _Toc438135721 \h</w:instrText>
        </w:r>
        <w:r w:rsidR="00FD1DB0">
          <w:rPr>
            <w:webHidden/>
          </w:rPr>
        </w:r>
        <w:r w:rsidR="00FD1DB0">
          <w:rPr>
            <w:webHidden/>
          </w:rPr>
          <w:fldChar w:fldCharType="separate"/>
        </w:r>
        <w:r w:rsidR="00FD1DB0">
          <w:rPr>
            <w:rStyle w:val="Sautdindex"/>
            <w:sz w:val="18"/>
            <w:szCs w:val="18"/>
          </w:rPr>
          <w:tab/>
          <w:t>22</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22">
        <w:r w:rsidR="00FD1DB0">
          <w:rPr>
            <w:rStyle w:val="Sautdindex"/>
            <w:rFonts w:cstheme="minorHAnsi"/>
            <w:webHidden/>
            <w:sz w:val="18"/>
            <w:szCs w:val="18"/>
          </w:rPr>
          <w:t>2.9.1.</w:t>
        </w:r>
        <w:r w:rsidR="00FD1DB0">
          <w:rPr>
            <w:rStyle w:val="Sautdindex"/>
            <w:rFonts w:eastAsiaTheme="minorEastAsia"/>
            <w:sz w:val="18"/>
            <w:szCs w:val="18"/>
            <w:lang w:val="fr-BE" w:eastAsia="fr-BE"/>
          </w:rPr>
          <w:tab/>
        </w:r>
        <w:r w:rsidR="00FD1DB0">
          <w:rPr>
            <w:rStyle w:val="Sautdindex"/>
            <w:rFonts w:cstheme="minorHAnsi"/>
            <w:sz w:val="18"/>
            <w:szCs w:val="18"/>
          </w:rPr>
          <w:t>Algemene principes met betrekking tot administratieve overgangsmaatregelen.</w:t>
        </w:r>
        <w:r w:rsidR="00FD1DB0">
          <w:rPr>
            <w:webHidden/>
          </w:rPr>
          <w:fldChar w:fldCharType="begin"/>
        </w:r>
        <w:r w:rsidR="00FD1DB0">
          <w:rPr>
            <w:webHidden/>
          </w:rPr>
          <w:instrText>PAGEREF _Toc438135722 \h</w:instrText>
        </w:r>
        <w:r w:rsidR="00FD1DB0">
          <w:rPr>
            <w:webHidden/>
          </w:rPr>
        </w:r>
        <w:r w:rsidR="00FD1DB0">
          <w:rPr>
            <w:webHidden/>
          </w:rPr>
          <w:fldChar w:fldCharType="separate"/>
        </w:r>
        <w:r w:rsidR="00FD1DB0">
          <w:rPr>
            <w:rStyle w:val="Sautdindex"/>
            <w:sz w:val="18"/>
            <w:szCs w:val="18"/>
          </w:rPr>
          <w:tab/>
          <w:t>22</w:t>
        </w:r>
        <w:r w:rsidR="00FD1DB0">
          <w:rPr>
            <w:webHidden/>
          </w:rPr>
          <w:fldChar w:fldCharType="end"/>
        </w:r>
      </w:hyperlink>
    </w:p>
    <w:p w:rsidR="00366217" w:rsidRDefault="00112066">
      <w:pPr>
        <w:pStyle w:val="Tabledesmatiresniveau3"/>
        <w:tabs>
          <w:tab w:val="left" w:pos="1320"/>
          <w:tab w:val="right" w:leader="dot" w:pos="9062"/>
        </w:tabs>
        <w:spacing w:line="240" w:lineRule="auto"/>
        <w:rPr>
          <w:rFonts w:eastAsiaTheme="minorEastAsia"/>
          <w:sz w:val="18"/>
          <w:szCs w:val="18"/>
          <w:lang w:val="fr-BE" w:eastAsia="fr-BE"/>
        </w:rPr>
      </w:pPr>
      <w:hyperlink w:anchor="_Toc438135723">
        <w:r w:rsidR="00FD1DB0">
          <w:rPr>
            <w:rStyle w:val="Sautdindex"/>
            <w:rFonts w:cstheme="minorHAnsi"/>
            <w:webHidden/>
            <w:sz w:val="18"/>
            <w:szCs w:val="18"/>
          </w:rPr>
          <w:t>2.9.2.</w:t>
        </w:r>
        <w:r w:rsidR="00FD1DB0">
          <w:rPr>
            <w:rStyle w:val="Sautdindex"/>
            <w:rFonts w:eastAsiaTheme="minorEastAsia"/>
            <w:sz w:val="18"/>
            <w:szCs w:val="18"/>
            <w:lang w:val="fr-BE" w:eastAsia="fr-BE"/>
          </w:rPr>
          <w:tab/>
        </w:r>
        <w:r w:rsidR="00FD1DB0">
          <w:rPr>
            <w:rStyle w:val="Sautdindex"/>
            <w:rFonts w:cstheme="minorHAnsi"/>
            <w:sz w:val="18"/>
            <w:szCs w:val="18"/>
          </w:rPr>
          <w:t>Algemene principes met betrekking tot overgangsmaatregelen gelinkt aan de nieuwe elektronische systemen.</w:t>
        </w:r>
        <w:r w:rsidR="00FD1DB0">
          <w:rPr>
            <w:webHidden/>
          </w:rPr>
          <w:fldChar w:fldCharType="begin"/>
        </w:r>
        <w:r w:rsidR="00FD1DB0">
          <w:rPr>
            <w:webHidden/>
          </w:rPr>
          <w:instrText>PAGEREF _Toc438135723 \h</w:instrText>
        </w:r>
        <w:r w:rsidR="00FD1DB0">
          <w:rPr>
            <w:webHidden/>
          </w:rPr>
        </w:r>
        <w:r w:rsidR="00FD1DB0">
          <w:rPr>
            <w:webHidden/>
          </w:rPr>
          <w:fldChar w:fldCharType="separate"/>
        </w:r>
        <w:r w:rsidR="00FD1DB0">
          <w:rPr>
            <w:rStyle w:val="Sautdindex"/>
            <w:sz w:val="18"/>
            <w:szCs w:val="18"/>
          </w:rPr>
          <w:tab/>
          <w:t>22</w:t>
        </w:r>
        <w:r w:rsidR="00FD1DB0">
          <w:rPr>
            <w:webHidden/>
          </w:rPr>
          <w:fldChar w:fldCharType="end"/>
        </w:r>
      </w:hyperlink>
    </w:p>
    <w:p w:rsidR="00366217" w:rsidRDefault="00112066">
      <w:pPr>
        <w:pStyle w:val="Tabledesmatiresniveau2"/>
        <w:spacing w:line="240" w:lineRule="auto"/>
        <w:rPr>
          <w:rFonts w:eastAsiaTheme="minorEastAsia"/>
          <w:lang w:val="fr-BE" w:eastAsia="fr-BE"/>
        </w:rPr>
      </w:pPr>
      <w:hyperlink w:anchor="_Toc438135724">
        <w:r w:rsidR="00FD1DB0">
          <w:rPr>
            <w:rStyle w:val="Sautdindex"/>
            <w:rFonts w:cstheme="minorHAnsi"/>
            <w:webHidden/>
            <w:sz w:val="18"/>
            <w:szCs w:val="18"/>
          </w:rPr>
          <w:t>2.10.</w:t>
        </w:r>
        <w:r w:rsidR="00FD1DB0">
          <w:rPr>
            <w:rStyle w:val="Sautdindex"/>
            <w:rFonts w:eastAsiaTheme="minorEastAsia"/>
            <w:sz w:val="18"/>
            <w:szCs w:val="18"/>
            <w:lang w:val="fr-BE" w:eastAsia="fr-BE"/>
          </w:rPr>
          <w:tab/>
        </w:r>
        <w:r w:rsidR="00FD1DB0">
          <w:rPr>
            <w:rStyle w:val="Sautdindex"/>
            <w:rFonts w:cstheme="minorHAnsi"/>
            <w:sz w:val="18"/>
            <w:szCs w:val="18"/>
          </w:rPr>
          <w:t>CONCLUSIE</w:t>
        </w:r>
        <w:r w:rsidR="00FD1DB0">
          <w:rPr>
            <w:webHidden/>
          </w:rPr>
          <w:fldChar w:fldCharType="begin"/>
        </w:r>
        <w:r w:rsidR="00FD1DB0">
          <w:rPr>
            <w:webHidden/>
          </w:rPr>
          <w:instrText>PAGEREF _Toc438135724 \h</w:instrText>
        </w:r>
        <w:r w:rsidR="00FD1DB0">
          <w:rPr>
            <w:webHidden/>
          </w:rPr>
        </w:r>
        <w:r w:rsidR="00FD1DB0">
          <w:rPr>
            <w:webHidden/>
          </w:rPr>
          <w:fldChar w:fldCharType="separate"/>
        </w:r>
        <w:r w:rsidR="00FD1DB0">
          <w:rPr>
            <w:rStyle w:val="Sautdindex"/>
            <w:sz w:val="18"/>
            <w:szCs w:val="18"/>
          </w:rPr>
          <w:tab/>
          <w:t>27</w:t>
        </w:r>
        <w:r w:rsidR="00FD1DB0">
          <w:rPr>
            <w:webHidden/>
          </w:rPr>
          <w:fldChar w:fldCharType="end"/>
        </w:r>
      </w:hyperlink>
    </w:p>
    <w:p w:rsidR="00366217" w:rsidRDefault="00FD1DB0">
      <w:pPr>
        <w:suppressAutoHyphens w:val="0"/>
        <w:spacing w:after="0"/>
        <w:jc w:val="both"/>
      </w:pPr>
      <w:r>
        <w:fldChar w:fldCharType="end"/>
      </w:r>
    </w:p>
    <w:p w:rsidR="007E5404" w:rsidRDefault="007E5404">
      <w:pPr>
        <w:suppressAutoHyphens w:val="0"/>
        <w:spacing w:after="0"/>
        <w:jc w:val="both"/>
        <w:rPr>
          <w:rFonts w:ascii="Calibri" w:eastAsia="Calibri" w:hAnsi="Calibri" w:cstheme="minorHAnsi"/>
        </w:rPr>
      </w:pPr>
    </w:p>
    <w:p w:rsidR="00366217" w:rsidRDefault="00FD1DB0">
      <w:pPr>
        <w:pStyle w:val="Titreun"/>
        <w:numPr>
          <w:ilvl w:val="0"/>
          <w:numId w:val="1"/>
        </w:numPr>
        <w:jc w:val="both"/>
        <w:rPr>
          <w:rFonts w:cstheme="minorHAnsi"/>
          <w:sz w:val="22"/>
          <w:szCs w:val="22"/>
        </w:rPr>
      </w:pPr>
      <w:bookmarkStart w:id="1" w:name="_Toc438135689"/>
      <w:bookmarkEnd w:id="1"/>
      <w:r>
        <w:rPr>
          <w:rFonts w:cstheme="minorHAnsi"/>
          <w:sz w:val="22"/>
          <w:szCs w:val="22"/>
        </w:rPr>
        <w:lastRenderedPageBreak/>
        <w:t>De nieuwe structuur van het douanewetboek van de Unie</w:t>
      </w:r>
    </w:p>
    <w:p w:rsidR="00366217" w:rsidRDefault="00FD1DB0">
      <w:pPr>
        <w:pStyle w:val="Titredeux"/>
        <w:numPr>
          <w:ilvl w:val="1"/>
          <w:numId w:val="1"/>
        </w:numPr>
        <w:jc w:val="both"/>
        <w:rPr>
          <w:rFonts w:cstheme="minorHAnsi"/>
        </w:rPr>
      </w:pPr>
      <w:bookmarkStart w:id="2" w:name="_Toc438135690"/>
      <w:bookmarkEnd w:id="2"/>
      <w:r>
        <w:rPr>
          <w:rFonts w:cstheme="minorHAnsi"/>
        </w:rPr>
        <w:t>Het douanewetboek van de Unie  (Union Customs Code):</w:t>
      </w:r>
    </w:p>
    <w:p w:rsidR="00366217" w:rsidRDefault="00FD1DB0">
      <w:pPr>
        <w:pStyle w:val="Lijstalinea"/>
        <w:ind w:left="792"/>
        <w:jc w:val="both"/>
        <w:rPr>
          <w:rFonts w:cstheme="minorHAnsi"/>
        </w:rPr>
      </w:pPr>
      <w:r>
        <w:rPr>
          <w:rFonts w:cstheme="minorHAnsi"/>
        </w:rPr>
        <w:t xml:space="preserve"> Basis verordening (EU) n° 952/2013 van het Europees Parlement en van de Raad van 9 oktober 2013 tot vaststelling van het douanewetboek van de Unie.</w:t>
      </w:r>
    </w:p>
    <w:p w:rsidR="00366217" w:rsidRDefault="00FD1DB0">
      <w:pPr>
        <w:pStyle w:val="Titredeux"/>
        <w:numPr>
          <w:ilvl w:val="1"/>
          <w:numId w:val="1"/>
        </w:numPr>
        <w:jc w:val="both"/>
      </w:pPr>
      <w:bookmarkStart w:id="3" w:name="_Toc438135691"/>
      <w:r>
        <w:rPr>
          <w:rFonts w:cstheme="minorHAnsi"/>
        </w:rPr>
        <w:t>De gedelegeerde Verordening van het UCC</w:t>
      </w:r>
      <w:r>
        <w:rPr>
          <w:rStyle w:val="Ancredenotedebasdepage"/>
          <w:rFonts w:cstheme="minorHAnsi"/>
        </w:rPr>
        <w:footnoteReference w:id="1"/>
      </w:r>
      <w:r>
        <w:rPr>
          <w:rFonts w:cstheme="minorHAnsi"/>
        </w:rPr>
        <w:t xml:space="preserve"> (UCC Delegated Act (DA)) :</w:t>
      </w:r>
      <w:bookmarkEnd w:id="3"/>
      <w:r>
        <w:rPr>
          <w:rFonts w:cstheme="minorHAnsi"/>
        </w:rPr>
        <w:t xml:space="preserve"> </w:t>
      </w:r>
    </w:p>
    <w:p w:rsidR="00366217" w:rsidRDefault="00FD1DB0">
      <w:pPr>
        <w:pStyle w:val="Lijstalinea"/>
        <w:ind w:left="792"/>
        <w:jc w:val="both"/>
        <w:rPr>
          <w:rFonts w:cstheme="minorHAnsi"/>
        </w:rPr>
      </w:pPr>
      <w:r>
        <w:rPr>
          <w:rFonts w:cstheme="minorHAnsi"/>
        </w:rPr>
        <w:t>Ook wel gedelegeerde Handeling genaamd. Dit omvat o.a. de voorwaarden voor het verlenen van vergunningen, tijdslimieten, enz… Deze verordening werd gepubliceerd in het Publicatieblad van de Europese Unie op 29 december 2015.</w:t>
      </w:r>
    </w:p>
    <w:p w:rsidR="00366217" w:rsidRDefault="00FD1DB0">
      <w:pPr>
        <w:pStyle w:val="Titredeux"/>
        <w:numPr>
          <w:ilvl w:val="1"/>
          <w:numId w:val="1"/>
        </w:numPr>
        <w:jc w:val="both"/>
        <w:rPr>
          <w:rFonts w:cstheme="minorHAnsi"/>
        </w:rPr>
      </w:pPr>
      <w:bookmarkStart w:id="4" w:name="_Toc438135692"/>
      <w:r>
        <w:rPr>
          <w:rFonts w:cstheme="minorHAnsi"/>
        </w:rPr>
        <w:t>De uitvoeringsverordening van het UCC</w:t>
      </w:r>
      <w:r>
        <w:rPr>
          <w:rStyle w:val="Ancredenotedebasdepage"/>
          <w:rFonts w:cstheme="minorHAnsi"/>
        </w:rPr>
        <w:footnoteReference w:id="2"/>
      </w:r>
      <w:r>
        <w:rPr>
          <w:rFonts w:cstheme="minorHAnsi"/>
        </w:rPr>
        <w:t xml:space="preserve"> (UCC Implementing Act (IA)) :</w:t>
      </w:r>
      <w:bookmarkEnd w:id="4"/>
      <w:r>
        <w:rPr>
          <w:rFonts w:cstheme="minorHAnsi"/>
        </w:rPr>
        <w:t xml:space="preserve"> </w:t>
      </w:r>
    </w:p>
    <w:p w:rsidR="00366217" w:rsidRDefault="00FD1DB0">
      <w:pPr>
        <w:pStyle w:val="Lijstalinea"/>
        <w:ind w:left="792"/>
        <w:jc w:val="both"/>
        <w:rPr>
          <w:rFonts w:cstheme="minorHAnsi"/>
        </w:rPr>
      </w:pPr>
      <w:r>
        <w:rPr>
          <w:rFonts w:cstheme="minorHAnsi"/>
        </w:rPr>
        <w:t>Ook wel uitvoeringshandeling genaamd. Dit omvat de meer specifieke uitvoeringsmodaliteiten. Deze werd gepubliceerd in het Publicatieblad van de Europese Unie Officiële op 29 december 2015.</w:t>
      </w:r>
    </w:p>
    <w:p w:rsidR="00366217" w:rsidRDefault="00FD1DB0">
      <w:pPr>
        <w:pStyle w:val="Titredeux"/>
        <w:numPr>
          <w:ilvl w:val="1"/>
          <w:numId w:val="1"/>
        </w:numPr>
        <w:jc w:val="both"/>
        <w:rPr>
          <w:rFonts w:cstheme="minorHAnsi"/>
        </w:rPr>
      </w:pPr>
      <w:bookmarkStart w:id="5" w:name="_Toc438135693"/>
      <w:bookmarkEnd w:id="5"/>
      <w:r>
        <w:rPr>
          <w:rFonts w:cstheme="minorHAnsi"/>
        </w:rPr>
        <w:t>TDA:</w:t>
      </w:r>
    </w:p>
    <w:p w:rsidR="00366217" w:rsidRDefault="00FD1DB0">
      <w:pPr>
        <w:pStyle w:val="Lijstalinea"/>
        <w:suppressAutoHyphens w:val="0"/>
        <w:spacing w:after="0"/>
        <w:ind w:left="792"/>
        <w:jc w:val="both"/>
        <w:rPr>
          <w:rFonts w:cstheme="minorHAnsi"/>
        </w:rPr>
      </w:pPr>
      <w:r>
        <w:rPr>
          <w:rFonts w:cstheme="minorHAnsi"/>
        </w:rPr>
        <w:t>In deze verordening worden de overgangsmaatregelen neergeschreven. Die overgangsmaatregelen zullen worden toegepast totdat de nieuwe elektronische systemen gelinkt aan UCC operationeel zijn om een status quo te handhaven. Dit wil zeggen dat zolang de nieuwe systemen niet operationeel zijn, men verder tracht te werken volgens de huidige procedures. Deze wettekst is momenteel nog in onderhandeling en zal pas klaar zijn in het voorjaar van 2016.</w:t>
      </w:r>
      <w:r>
        <w:rPr>
          <w:rStyle w:val="Ancredenotedebasdepage"/>
          <w:rFonts w:cstheme="minorHAnsi"/>
        </w:rPr>
        <w:footnoteReference w:id="3"/>
      </w:r>
    </w:p>
    <w:p w:rsidR="00366217" w:rsidRDefault="00366217">
      <w:pPr>
        <w:pStyle w:val="Lijstalinea"/>
        <w:suppressAutoHyphens w:val="0"/>
        <w:spacing w:after="0"/>
        <w:ind w:left="792"/>
        <w:jc w:val="both"/>
        <w:rPr>
          <w:rFonts w:ascii="Calibri" w:eastAsia="Calibri" w:hAnsi="Calibri" w:cstheme="minorHAnsi"/>
        </w:rPr>
      </w:pPr>
    </w:p>
    <w:p w:rsidR="00366217" w:rsidRDefault="00FD1DB0">
      <w:pPr>
        <w:pStyle w:val="Titredeux"/>
        <w:numPr>
          <w:ilvl w:val="1"/>
          <w:numId w:val="1"/>
        </w:numPr>
        <w:jc w:val="both"/>
        <w:rPr>
          <w:rFonts w:cstheme="minorHAnsi"/>
        </w:rPr>
      </w:pPr>
      <w:bookmarkStart w:id="6" w:name="_Toc438135694"/>
      <w:r>
        <w:rPr>
          <w:rFonts w:cstheme="minorHAnsi"/>
        </w:rPr>
        <w:t>Het werkprogramma voor het Douanewetboek van de Unie</w:t>
      </w:r>
      <w:bookmarkEnd w:id="6"/>
      <w:r>
        <w:rPr>
          <w:rFonts w:cstheme="minorHAnsi"/>
        </w:rPr>
        <w:t xml:space="preserve">  </w:t>
      </w:r>
    </w:p>
    <w:p w:rsidR="00366217" w:rsidRDefault="00FD1DB0">
      <w:pPr>
        <w:pStyle w:val="Lijstalinea"/>
        <w:ind w:left="792"/>
        <w:jc w:val="both"/>
        <w:rPr>
          <w:rFonts w:cstheme="minorHAnsi"/>
        </w:rPr>
      </w:pPr>
      <w:r>
        <w:rPr>
          <w:rFonts w:cstheme="minorHAnsi"/>
        </w:rPr>
        <w:t xml:space="preserve">De TDA is ook nauw verbonden met het </w:t>
      </w:r>
      <w:r>
        <w:rPr>
          <w:rFonts w:cstheme="minorHAnsi"/>
          <w:u w:val="single"/>
        </w:rPr>
        <w:t>UCC werkprogramma</w:t>
      </w:r>
      <w:r>
        <w:rPr>
          <w:rFonts w:cstheme="minorHAnsi"/>
        </w:rPr>
        <w:t>. Dat werd vastgelegd in een uitvoeringsbesluit van de Commissie van 29 april 2014. Dit uitvoeringsbesluit tot vaststelling van het werkprogramma voor het douanewetboek van de Unie wordt jaarlijks herzien en hierin worden de streefdata neergelegd voor de ontwikkeling van de verschillende nieuwe elektronische systemen.</w:t>
      </w:r>
      <w:r>
        <w:rPr>
          <w:rStyle w:val="Ancredenotedebasdepage"/>
          <w:rFonts w:cstheme="minorHAnsi"/>
        </w:rPr>
        <w:footnoteReference w:id="4"/>
      </w:r>
    </w:p>
    <w:p w:rsidR="00366217" w:rsidRDefault="00366217">
      <w:pPr>
        <w:pStyle w:val="Lijstalinea"/>
        <w:ind w:left="792"/>
        <w:jc w:val="both"/>
        <w:rPr>
          <w:rFonts w:ascii="Calibri" w:eastAsia="Calibri" w:hAnsi="Calibri" w:cstheme="minorHAnsi"/>
        </w:rPr>
      </w:pPr>
    </w:p>
    <w:p w:rsidR="00366217" w:rsidRDefault="00366217">
      <w:pPr>
        <w:pStyle w:val="Lijstalinea"/>
        <w:ind w:left="792"/>
        <w:jc w:val="both"/>
        <w:rPr>
          <w:rFonts w:ascii="Calibri" w:eastAsia="Calibri" w:hAnsi="Calibri" w:cstheme="minorHAnsi"/>
        </w:rPr>
      </w:pPr>
    </w:p>
    <w:p w:rsidR="00366217" w:rsidRDefault="00FD1DB0">
      <w:pPr>
        <w:pStyle w:val="Titreun"/>
        <w:numPr>
          <w:ilvl w:val="0"/>
          <w:numId w:val="1"/>
        </w:numPr>
        <w:jc w:val="both"/>
      </w:pPr>
      <w:bookmarkStart w:id="7" w:name="_Toc438135695"/>
      <w:bookmarkEnd w:id="7"/>
      <w:r>
        <w:rPr>
          <w:rFonts w:cstheme="minorHAnsi"/>
          <w:sz w:val="22"/>
          <w:szCs w:val="22"/>
        </w:rPr>
        <w:t>Analyse van het douanewetboek van de Unie, titel per titel.</w:t>
      </w:r>
    </w:p>
    <w:p w:rsidR="00366217" w:rsidRDefault="00FD1DB0">
      <w:pPr>
        <w:pStyle w:val="Lijstalinea"/>
        <w:jc w:val="both"/>
      </w:pPr>
      <w:r>
        <w:rPr>
          <w:rFonts w:cstheme="minorHAnsi"/>
          <w:b/>
          <w:u w:val="single"/>
        </w:rPr>
        <w:t>Nieuwe terminologie </w:t>
      </w:r>
    </w:p>
    <w:p w:rsidR="00366217" w:rsidRDefault="00FD1DB0">
      <w:pPr>
        <w:pStyle w:val="Lijstalinea"/>
        <w:jc w:val="both"/>
        <w:rPr>
          <w:rFonts w:cstheme="minorHAnsi"/>
          <w:bCs/>
        </w:rPr>
      </w:pPr>
      <w:r>
        <w:rPr>
          <w:rFonts w:cstheme="minorHAnsi"/>
          <w:bCs/>
        </w:rPr>
        <w:t>In het Douanewetboek van de Unie wordt:</w:t>
      </w:r>
    </w:p>
    <w:p w:rsidR="00366217" w:rsidRDefault="00FD1DB0">
      <w:pPr>
        <w:pStyle w:val="Lijstalinea"/>
        <w:numPr>
          <w:ilvl w:val="0"/>
          <w:numId w:val="38"/>
        </w:numPr>
        <w:jc w:val="both"/>
        <w:rPr>
          <w:rFonts w:cstheme="minorHAnsi"/>
          <w:bCs/>
        </w:rPr>
      </w:pPr>
      <w:r>
        <w:rPr>
          <w:rFonts w:cstheme="minorHAnsi"/>
          <w:bCs/>
        </w:rPr>
        <w:t xml:space="preserve">« Europese gemeenschap » vervangen door « Europese Unie ». </w:t>
      </w:r>
    </w:p>
    <w:p w:rsidR="00366217" w:rsidRDefault="00FD1DB0">
      <w:pPr>
        <w:pStyle w:val="Lijstalinea"/>
        <w:numPr>
          <w:ilvl w:val="0"/>
          <w:numId w:val="38"/>
        </w:numPr>
        <w:jc w:val="both"/>
        <w:rPr>
          <w:rFonts w:cstheme="minorHAnsi"/>
          <w:bCs/>
        </w:rPr>
      </w:pPr>
      <w:r>
        <w:rPr>
          <w:rFonts w:cstheme="minorHAnsi"/>
          <w:bCs/>
        </w:rPr>
        <w:t>« Communautaire goederen of niet-communautaire » vervangen door « Uniegoederen of Niet-Uniegoederen » </w:t>
      </w:r>
    </w:p>
    <w:p w:rsidR="00366217" w:rsidRDefault="00FD1DB0">
      <w:pPr>
        <w:pStyle w:val="Lijstalinea"/>
        <w:numPr>
          <w:ilvl w:val="0"/>
          <w:numId w:val="38"/>
        </w:numPr>
        <w:jc w:val="both"/>
        <w:rPr>
          <w:rFonts w:cstheme="minorHAnsi"/>
          <w:bCs/>
        </w:rPr>
      </w:pPr>
      <w:r>
        <w:rPr>
          <w:rFonts w:cstheme="minorHAnsi"/>
          <w:bCs/>
        </w:rPr>
        <w:t>« Economische douaneregelingen » vervangen door « Bijzondere regelingen » </w:t>
      </w:r>
    </w:p>
    <w:p w:rsidR="00366217" w:rsidRDefault="00FD1DB0">
      <w:pPr>
        <w:pStyle w:val="Lijstalinea"/>
        <w:numPr>
          <w:ilvl w:val="0"/>
          <w:numId w:val="38"/>
        </w:numPr>
        <w:jc w:val="both"/>
        <w:rPr>
          <w:rFonts w:cstheme="minorHAnsi"/>
          <w:bCs/>
        </w:rPr>
      </w:pPr>
      <w:r>
        <w:rPr>
          <w:rFonts w:cstheme="minorHAnsi"/>
          <w:bCs/>
        </w:rPr>
        <w:t>« AEO-Certificaat » vervangen door « AEO-Vergunning »</w:t>
      </w:r>
    </w:p>
    <w:p w:rsidR="00366217" w:rsidRDefault="00FD1DB0">
      <w:pPr>
        <w:pStyle w:val="Lijstalinea"/>
        <w:numPr>
          <w:ilvl w:val="0"/>
          <w:numId w:val="38"/>
        </w:numPr>
        <w:jc w:val="both"/>
        <w:rPr>
          <w:rFonts w:cstheme="minorHAnsi"/>
          <w:bCs/>
          <w:lang w:val="nl-NL"/>
        </w:rPr>
      </w:pPr>
      <w:r>
        <w:rPr>
          <w:rFonts w:cstheme="minorHAnsi"/>
          <w:bCs/>
          <w:lang w:val="nl-NL"/>
        </w:rPr>
        <w:t>Etc.</w:t>
      </w:r>
    </w:p>
    <w:p w:rsidR="00366217" w:rsidRDefault="00FD1DB0">
      <w:pPr>
        <w:pStyle w:val="Titredeux"/>
        <w:numPr>
          <w:ilvl w:val="1"/>
          <w:numId w:val="1"/>
        </w:numPr>
        <w:jc w:val="both"/>
        <w:rPr>
          <w:rFonts w:cstheme="minorHAnsi"/>
        </w:rPr>
      </w:pPr>
      <w:r>
        <w:rPr>
          <w:rFonts w:cstheme="minorHAnsi"/>
        </w:rPr>
        <w:t xml:space="preserve"> </w:t>
      </w:r>
      <w:bookmarkStart w:id="8" w:name="_Toc438135696"/>
      <w:bookmarkEnd w:id="8"/>
      <w:r>
        <w:rPr>
          <w:rFonts w:cstheme="minorHAnsi"/>
        </w:rPr>
        <w:t>Titel I: Algemene bepalingen.</w:t>
      </w:r>
    </w:p>
    <w:p w:rsidR="00366217" w:rsidRDefault="00FD1DB0">
      <w:pPr>
        <w:pStyle w:val="Titretrois"/>
        <w:numPr>
          <w:ilvl w:val="2"/>
          <w:numId w:val="1"/>
        </w:numPr>
        <w:jc w:val="both"/>
        <w:rPr>
          <w:rFonts w:cstheme="minorHAnsi"/>
          <w:sz w:val="22"/>
          <w:szCs w:val="22"/>
        </w:rPr>
      </w:pPr>
      <w:bookmarkStart w:id="9" w:name="_Toc438135697"/>
      <w:bookmarkEnd w:id="9"/>
      <w:r>
        <w:rPr>
          <w:rFonts w:cstheme="minorHAnsi"/>
          <w:sz w:val="22"/>
          <w:szCs w:val="22"/>
        </w:rPr>
        <w:t>AEO</w:t>
      </w:r>
    </w:p>
    <w:p w:rsidR="00366217" w:rsidRDefault="00FD1DB0">
      <w:pPr>
        <w:pStyle w:val="Lijstalinea"/>
        <w:numPr>
          <w:ilvl w:val="0"/>
          <w:numId w:val="44"/>
        </w:numPr>
        <w:ind w:left="1418" w:hanging="284"/>
        <w:jc w:val="both"/>
        <w:rPr>
          <w:rFonts w:cstheme="minorHAnsi"/>
        </w:rPr>
      </w:pPr>
      <w:r>
        <w:rPr>
          <w:rFonts w:cstheme="minorHAnsi"/>
        </w:rPr>
        <w:t>Invoering van een nieuw criterium, met name het bewijzen van praktische vakbekwaamheid of beroepskwalificaties inzake douaneaangelegenheden die rechtstreeks samenhangen met de verrichte activiteit.</w:t>
      </w:r>
      <w:r>
        <w:rPr>
          <w:rFonts w:cstheme="minorHAnsi"/>
          <w:u w:val="single"/>
        </w:rPr>
        <w:t xml:space="preserve"> </w:t>
      </w:r>
      <w:r>
        <w:rPr>
          <w:rFonts w:cstheme="minorHAnsi"/>
        </w:rPr>
        <w:t>Daarnaast uitbreiding van het compliance criterium (passende staat van dienst op vlak van douane én belastingvoorschriften) voor AEOC en AEOS.</w:t>
      </w:r>
    </w:p>
    <w:p w:rsidR="00366217" w:rsidRDefault="00FD1DB0">
      <w:pPr>
        <w:pStyle w:val="Lijstalinea"/>
        <w:numPr>
          <w:ilvl w:val="0"/>
          <w:numId w:val="2"/>
        </w:numPr>
        <w:jc w:val="both"/>
        <w:rPr>
          <w:rFonts w:cstheme="minorHAnsi"/>
        </w:rPr>
      </w:pPr>
      <w:r>
        <w:rPr>
          <w:rFonts w:cstheme="minorHAnsi"/>
        </w:rPr>
        <w:t>Indienen self-assessment gedeelte bij aanvraag = verplicht.</w:t>
      </w:r>
    </w:p>
    <w:p w:rsidR="00366217" w:rsidRDefault="00FD1DB0">
      <w:pPr>
        <w:pStyle w:val="Lijstalinea"/>
        <w:numPr>
          <w:ilvl w:val="0"/>
          <w:numId w:val="2"/>
        </w:numPr>
        <w:jc w:val="both"/>
        <w:rPr>
          <w:rFonts w:cstheme="minorHAnsi"/>
        </w:rPr>
      </w:pPr>
      <w:r>
        <w:rPr>
          <w:rFonts w:cstheme="minorHAnsi"/>
        </w:rPr>
        <w:t>AEOC = kan een doorlopende zekerheid voor een verminderd bedrag van in het spel zijnde rechten of ontheffing van borgstelling verkrijgen.</w:t>
      </w:r>
    </w:p>
    <w:p w:rsidR="00366217" w:rsidRDefault="00FD1DB0">
      <w:pPr>
        <w:pStyle w:val="Lijstalinea"/>
        <w:numPr>
          <w:ilvl w:val="0"/>
          <w:numId w:val="2"/>
        </w:numPr>
        <w:jc w:val="both"/>
        <w:rPr>
          <w:rFonts w:cstheme="minorHAnsi"/>
        </w:rPr>
      </w:pPr>
      <w:r>
        <w:rPr>
          <w:rFonts w:cstheme="minorHAnsi"/>
        </w:rPr>
        <w:t>EIDR =douane aangifte door inschrijving in de eigen boekhouding EN vrijstelling van kennisgeving aan douane.</w:t>
      </w:r>
    </w:p>
    <w:p w:rsidR="00366217" w:rsidRDefault="00FD1DB0">
      <w:pPr>
        <w:pStyle w:val="Lijstalinea"/>
        <w:numPr>
          <w:ilvl w:val="0"/>
          <w:numId w:val="2"/>
        </w:numPr>
        <w:jc w:val="both"/>
        <w:rPr>
          <w:rFonts w:cstheme="minorHAnsi"/>
        </w:rPr>
      </w:pPr>
      <w:r>
        <w:rPr>
          <w:rFonts w:cstheme="minorHAnsi"/>
        </w:rPr>
        <w:t>Toegang tot gecentraliseerde vrijmaking en self-assesment.</w:t>
      </w:r>
    </w:p>
    <w:p w:rsidR="00366217" w:rsidRDefault="00FD1DB0">
      <w:pPr>
        <w:pStyle w:val="Lijstalinea"/>
        <w:numPr>
          <w:ilvl w:val="0"/>
          <w:numId w:val="2"/>
        </w:numPr>
        <w:jc w:val="both"/>
        <w:rPr>
          <w:rFonts w:cstheme="minorHAnsi"/>
        </w:rPr>
      </w:pPr>
      <w:r>
        <w:rPr>
          <w:rFonts w:cstheme="minorHAnsi"/>
        </w:rPr>
        <w:t>Overbrenging van goederen onder tijdelijke opslag, zelfs tussen lidstaten.</w:t>
      </w:r>
    </w:p>
    <w:p w:rsidR="00366217" w:rsidRDefault="00FD1DB0">
      <w:pPr>
        <w:ind w:left="1080"/>
        <w:jc w:val="both"/>
        <w:rPr>
          <w:rFonts w:cstheme="minorHAnsi"/>
          <w:b/>
          <w:bCs/>
          <w:i/>
          <w:u w:val="single"/>
        </w:rPr>
      </w:pPr>
      <w:r>
        <w:rPr>
          <w:rFonts w:cstheme="minorHAnsi"/>
          <w:b/>
          <w:bCs/>
          <w:i/>
          <w:color w:val="C0504D" w:themeColor="accent2"/>
          <w:u w:val="single"/>
        </w:rPr>
        <w:t>Overgangsmaatregelen</w:t>
      </w:r>
      <w:r>
        <w:rPr>
          <w:rFonts w:cstheme="minorHAnsi"/>
          <w:b/>
          <w:bCs/>
          <w:i/>
          <w:u w:val="single"/>
        </w:rPr>
        <w:t xml:space="preserve"> </w:t>
      </w:r>
    </w:p>
    <w:p w:rsidR="00366217" w:rsidRDefault="00FD1DB0">
      <w:pPr>
        <w:pStyle w:val="Lijstalinea"/>
        <w:numPr>
          <w:ilvl w:val="0"/>
          <w:numId w:val="2"/>
        </w:numPr>
        <w:jc w:val="both"/>
        <w:rPr>
          <w:rFonts w:cstheme="minorHAnsi"/>
          <w:i/>
        </w:rPr>
      </w:pPr>
      <w:r>
        <w:rPr>
          <w:rFonts w:cstheme="minorHAnsi"/>
          <w:i/>
        </w:rPr>
        <w:t>AEO vergunningen zullen herbeoordeeld worden met inachtname van de nieuwe criteria UCC. Volgens het algemeen principe dient dit te gebeuren voor 1 mei 2019 zonder verplichte aanvraag van vergunninghouders zelf.</w:t>
      </w:r>
    </w:p>
    <w:p w:rsidR="00366217" w:rsidRDefault="00FD1DB0">
      <w:pPr>
        <w:pStyle w:val="Lijstalinea"/>
        <w:numPr>
          <w:ilvl w:val="0"/>
          <w:numId w:val="2"/>
        </w:numPr>
        <w:jc w:val="both"/>
        <w:rPr>
          <w:rFonts w:cstheme="minorHAnsi"/>
          <w:i/>
        </w:rPr>
      </w:pPr>
      <w:r>
        <w:rPr>
          <w:rFonts w:cstheme="minorHAnsi"/>
          <w:i/>
        </w:rPr>
        <w:t xml:space="preserve">UCC werkprogramma: AEO update van systeem voorzien </w:t>
      </w:r>
      <w:r>
        <w:rPr>
          <w:rFonts w:cstheme="minorHAnsi"/>
          <w:bCs/>
        </w:rPr>
        <w:t>in twee fases. Fase 1: 01/03/2018 en fase 2:1/10/2019 .</w:t>
      </w:r>
    </w:p>
    <w:p w:rsidR="00366217" w:rsidRDefault="00FD1DB0">
      <w:pPr>
        <w:pStyle w:val="Lijstalinea"/>
        <w:numPr>
          <w:ilvl w:val="0"/>
          <w:numId w:val="2"/>
        </w:numPr>
        <w:jc w:val="both"/>
        <w:rPr>
          <w:rFonts w:cstheme="minorHAnsi"/>
          <w:i/>
        </w:rPr>
      </w:pPr>
      <w:r>
        <w:rPr>
          <w:rFonts w:cstheme="minorHAnsi"/>
          <w:i/>
        </w:rPr>
        <w:t>Tot aan die datum huidig systeem en formulieren verder te gebruiken zoals neergeschreven in TDA.</w:t>
      </w:r>
    </w:p>
    <w:p w:rsidR="00366217" w:rsidRDefault="00FD1DB0">
      <w:r>
        <w:lastRenderedPageBreak/>
        <w:br w:type="page"/>
      </w:r>
    </w:p>
    <w:p w:rsidR="00366217" w:rsidRDefault="00366217">
      <w:pPr>
        <w:ind w:left="1080"/>
        <w:jc w:val="both"/>
        <w:rPr>
          <w:rFonts w:ascii="Calibri" w:eastAsia="Calibri" w:hAnsi="Calibri" w:cstheme="minorHAnsi"/>
          <w:i/>
        </w:rPr>
      </w:pPr>
    </w:p>
    <w:p w:rsidR="00366217" w:rsidRDefault="00366217">
      <w:pPr>
        <w:pStyle w:val="Lijstalinea"/>
        <w:ind w:left="1440"/>
        <w:jc w:val="both"/>
        <w:rPr>
          <w:rFonts w:ascii="Calibri" w:eastAsia="Calibri" w:hAnsi="Calibri" w:cstheme="minorHAnsi"/>
          <w:i/>
        </w:rPr>
      </w:pPr>
    </w:p>
    <w:p w:rsidR="00366217" w:rsidRDefault="00366217">
      <w:pPr>
        <w:pStyle w:val="Lijstalinea"/>
        <w:ind w:left="1440"/>
        <w:jc w:val="both"/>
        <w:rPr>
          <w:rFonts w:ascii="Calibri" w:eastAsia="Calibri" w:hAnsi="Calibri" w:cstheme="minorHAnsi"/>
          <w:i/>
        </w:rPr>
      </w:pPr>
    </w:p>
    <w:p w:rsidR="00366217" w:rsidRDefault="00FD1DB0">
      <w:pPr>
        <w:ind w:left="1080"/>
        <w:jc w:val="both"/>
        <w:rPr>
          <w:rFonts w:cstheme="minorHAnsi"/>
          <w:u w:val="single"/>
        </w:rPr>
      </w:pPr>
      <w:r>
        <w:rPr>
          <w:rFonts w:cstheme="minorHAnsi"/>
          <w:u w:val="single"/>
        </w:rPr>
        <w:t>Dus volgens UCC  3 algemene voorwaarden en 4 criteria per AEO verguning</w:t>
      </w:r>
    </w:p>
    <w:p w:rsidR="00366217" w:rsidRDefault="00366217">
      <w:pPr>
        <w:ind w:left="1080"/>
        <w:jc w:val="both"/>
        <w:rPr>
          <w:rFonts w:ascii="Calibri" w:eastAsia="Calibri" w:hAnsi="Calibri" w:cstheme="minorHAnsi"/>
          <w:u w:val="single"/>
        </w:rPr>
      </w:pPr>
    </w:p>
    <w:tbl>
      <w:tblPr>
        <w:tblStyle w:val="Tabelraster1"/>
        <w:tblW w:w="9213" w:type="dxa"/>
        <w:tblInd w:w="-10" w:type="dxa"/>
        <w:tblCellMar>
          <w:left w:w="98" w:type="dxa"/>
        </w:tblCellMar>
        <w:tblLook w:val="04A0" w:firstRow="1" w:lastRow="0" w:firstColumn="1" w:lastColumn="0" w:noHBand="0" w:noVBand="1"/>
      </w:tblPr>
      <w:tblGrid>
        <w:gridCol w:w="4787"/>
        <w:gridCol w:w="989"/>
        <w:gridCol w:w="993"/>
        <w:gridCol w:w="2444"/>
      </w:tblGrid>
      <w:tr w:rsidR="00366217">
        <w:tc>
          <w:tcPr>
            <w:tcW w:w="4786" w:type="dxa"/>
            <w:shd w:val="clear" w:color="auto" w:fill="auto"/>
            <w:tcMar>
              <w:left w:w="98" w:type="dxa"/>
            </w:tcMar>
          </w:tcPr>
          <w:p w:rsidR="00366217" w:rsidRDefault="00FD1DB0">
            <w:pPr>
              <w:suppressAutoHyphens w:val="0"/>
              <w:spacing w:after="0"/>
              <w:jc w:val="center"/>
            </w:pPr>
            <w:r>
              <w:rPr>
                <w:rFonts w:eastAsia="Calibri" w:cs="Arial"/>
                <w:b/>
                <w:bCs/>
              </w:rPr>
              <w:t>Criteria</w:t>
            </w:r>
          </w:p>
        </w:tc>
        <w:tc>
          <w:tcPr>
            <w:tcW w:w="989" w:type="dxa"/>
            <w:shd w:val="clear" w:color="auto" w:fill="auto"/>
            <w:tcMar>
              <w:left w:w="98" w:type="dxa"/>
            </w:tcMar>
          </w:tcPr>
          <w:p w:rsidR="00366217" w:rsidRDefault="00FD1DB0">
            <w:pPr>
              <w:suppressAutoHyphens w:val="0"/>
              <w:spacing w:after="0"/>
              <w:jc w:val="center"/>
              <w:rPr>
                <w:b/>
                <w:bCs/>
              </w:rPr>
            </w:pPr>
            <w:r>
              <w:rPr>
                <w:rFonts w:eastAsia="Calibri" w:cs="Arial"/>
                <w:b/>
                <w:bCs/>
              </w:rPr>
              <w:t>AEOC</w:t>
            </w:r>
          </w:p>
        </w:tc>
        <w:tc>
          <w:tcPr>
            <w:tcW w:w="993" w:type="dxa"/>
            <w:shd w:val="clear" w:color="auto" w:fill="auto"/>
            <w:tcMar>
              <w:left w:w="98" w:type="dxa"/>
            </w:tcMar>
          </w:tcPr>
          <w:p w:rsidR="00366217" w:rsidRDefault="00FD1DB0">
            <w:pPr>
              <w:suppressAutoHyphens w:val="0"/>
              <w:spacing w:after="0"/>
              <w:jc w:val="center"/>
              <w:rPr>
                <w:b/>
                <w:bCs/>
              </w:rPr>
            </w:pPr>
            <w:r>
              <w:rPr>
                <w:rFonts w:eastAsia="Calibri" w:cs="Arial"/>
                <w:b/>
                <w:bCs/>
              </w:rPr>
              <w:t>AEOS</w:t>
            </w:r>
          </w:p>
        </w:tc>
        <w:tc>
          <w:tcPr>
            <w:tcW w:w="2444" w:type="dxa"/>
            <w:shd w:val="clear" w:color="auto" w:fill="auto"/>
            <w:tcMar>
              <w:left w:w="98" w:type="dxa"/>
            </w:tcMar>
          </w:tcPr>
          <w:p w:rsidR="00366217" w:rsidRDefault="00FD1DB0">
            <w:pPr>
              <w:suppressAutoHyphens w:val="0"/>
              <w:spacing w:after="0"/>
              <w:jc w:val="center"/>
              <w:rPr>
                <w:b/>
                <w:bCs/>
              </w:rPr>
            </w:pPr>
            <w:r>
              <w:rPr>
                <w:rFonts w:eastAsia="Calibri" w:cs="Arial"/>
                <w:b/>
                <w:bCs/>
              </w:rPr>
              <w:t>Referenties UCC/DA</w:t>
            </w:r>
          </w:p>
        </w:tc>
      </w:tr>
      <w:tr w:rsidR="00366217">
        <w:tc>
          <w:tcPr>
            <w:tcW w:w="4786" w:type="dxa"/>
            <w:shd w:val="clear" w:color="auto" w:fill="auto"/>
            <w:tcMar>
              <w:left w:w="98" w:type="dxa"/>
            </w:tcMar>
          </w:tcPr>
          <w:p w:rsidR="00366217" w:rsidRDefault="00FD1DB0">
            <w:pPr>
              <w:suppressAutoHyphens w:val="0"/>
              <w:spacing w:after="0"/>
              <w:jc w:val="both"/>
              <w:rPr>
                <w:rFonts w:ascii="Calibri" w:eastAsia="Calibri" w:hAnsi="Calibri" w:cs="Arial"/>
              </w:rPr>
            </w:pPr>
            <w:r>
              <w:rPr>
                <w:rFonts w:eastAsia="Calibri" w:cs="Arial"/>
              </w:rPr>
              <w:t>Marktdeelnemer</w:t>
            </w:r>
          </w:p>
        </w:tc>
        <w:tc>
          <w:tcPr>
            <w:tcW w:w="989" w:type="dxa"/>
            <w:shd w:val="clear" w:color="auto" w:fill="auto"/>
            <w:tcMar>
              <w:left w:w="98" w:type="dxa"/>
            </w:tcMar>
            <w:vAlign w:val="center"/>
          </w:tcPr>
          <w:p w:rsidR="00366217" w:rsidRDefault="00FD1DB0">
            <w:pPr>
              <w:suppressAutoHyphens w:val="0"/>
              <w:spacing w:after="0"/>
              <w:jc w:val="center"/>
              <w:rPr>
                <w:rFonts w:ascii="Calibri" w:eastAsia="Calibri" w:hAnsi="Calibri" w:cs="Arial"/>
              </w:rPr>
            </w:pPr>
            <w:r>
              <w:rPr>
                <w:rFonts w:eastAsia="Calibri" w:cs="Arial"/>
              </w:rPr>
              <w:t>X</w:t>
            </w:r>
          </w:p>
        </w:tc>
        <w:tc>
          <w:tcPr>
            <w:tcW w:w="993" w:type="dxa"/>
            <w:shd w:val="clear" w:color="auto" w:fill="auto"/>
            <w:tcMar>
              <w:left w:w="98" w:type="dxa"/>
            </w:tcMar>
            <w:vAlign w:val="center"/>
          </w:tcPr>
          <w:p w:rsidR="00366217" w:rsidRDefault="00FD1DB0">
            <w:pPr>
              <w:suppressAutoHyphens w:val="0"/>
              <w:spacing w:after="0"/>
              <w:jc w:val="center"/>
              <w:rPr>
                <w:rFonts w:ascii="Calibri" w:eastAsia="Calibri" w:hAnsi="Calibri" w:cs="Arial"/>
              </w:rPr>
            </w:pPr>
            <w:r>
              <w:rPr>
                <w:rFonts w:eastAsia="Calibri" w:cs="Arial"/>
              </w:rPr>
              <w:t>X</w:t>
            </w:r>
          </w:p>
        </w:tc>
        <w:tc>
          <w:tcPr>
            <w:tcW w:w="2444" w:type="dxa"/>
            <w:shd w:val="clear" w:color="auto" w:fill="auto"/>
            <w:tcMar>
              <w:left w:w="98" w:type="dxa"/>
            </w:tcMar>
          </w:tcPr>
          <w:p w:rsidR="00366217" w:rsidRDefault="00FD1DB0">
            <w:pPr>
              <w:suppressAutoHyphens w:val="0"/>
              <w:spacing w:after="0"/>
              <w:jc w:val="both"/>
              <w:rPr>
                <w:rFonts w:ascii="Calibri" w:eastAsia="Calibri" w:hAnsi="Calibri" w:cs="Arial"/>
              </w:rPr>
            </w:pPr>
            <w:r>
              <w:rPr>
                <w:rFonts w:eastAsia="Calibri" w:cs="Arial"/>
              </w:rPr>
              <w:t>Art. 5, 5) UCC</w:t>
            </w:r>
          </w:p>
        </w:tc>
      </w:tr>
      <w:tr w:rsidR="00366217">
        <w:tc>
          <w:tcPr>
            <w:tcW w:w="4786" w:type="dxa"/>
            <w:shd w:val="clear" w:color="auto" w:fill="auto"/>
            <w:tcMar>
              <w:left w:w="98" w:type="dxa"/>
            </w:tcMar>
          </w:tcPr>
          <w:p w:rsidR="00366217" w:rsidRDefault="00FD1DB0">
            <w:pPr>
              <w:suppressAutoHyphens w:val="0"/>
              <w:spacing w:after="0"/>
              <w:jc w:val="both"/>
            </w:pPr>
            <w:r>
              <w:rPr>
                <w:rFonts w:eastAsia="Calibri" w:cs="Arial"/>
              </w:rPr>
              <w:t>Gevestigd in het douanegebied van de Unie</w:t>
            </w:r>
          </w:p>
        </w:tc>
        <w:tc>
          <w:tcPr>
            <w:tcW w:w="989" w:type="dxa"/>
            <w:shd w:val="clear" w:color="auto" w:fill="auto"/>
            <w:tcMar>
              <w:left w:w="98" w:type="dxa"/>
            </w:tcMar>
            <w:vAlign w:val="center"/>
          </w:tcPr>
          <w:p w:rsidR="00366217" w:rsidRDefault="00FD1DB0">
            <w:pPr>
              <w:suppressAutoHyphens w:val="0"/>
              <w:spacing w:after="0"/>
              <w:jc w:val="center"/>
              <w:rPr>
                <w:rFonts w:ascii="Calibri" w:eastAsia="Calibri" w:hAnsi="Calibri" w:cs="Arial"/>
              </w:rPr>
            </w:pPr>
            <w:r>
              <w:rPr>
                <w:rFonts w:eastAsia="Calibri" w:cs="Arial"/>
              </w:rPr>
              <w:t>X</w:t>
            </w:r>
          </w:p>
        </w:tc>
        <w:tc>
          <w:tcPr>
            <w:tcW w:w="993" w:type="dxa"/>
            <w:shd w:val="clear" w:color="auto" w:fill="auto"/>
            <w:tcMar>
              <w:left w:w="98" w:type="dxa"/>
            </w:tcMar>
            <w:vAlign w:val="center"/>
          </w:tcPr>
          <w:p w:rsidR="00366217" w:rsidRDefault="00FD1DB0">
            <w:pPr>
              <w:suppressAutoHyphens w:val="0"/>
              <w:spacing w:after="0"/>
              <w:jc w:val="center"/>
              <w:rPr>
                <w:rFonts w:ascii="Calibri" w:eastAsia="Calibri" w:hAnsi="Calibri" w:cs="Arial"/>
              </w:rPr>
            </w:pPr>
            <w:r>
              <w:rPr>
                <w:rFonts w:eastAsia="Calibri" w:cs="Arial"/>
              </w:rPr>
              <w:t>X</w:t>
            </w:r>
          </w:p>
        </w:tc>
        <w:tc>
          <w:tcPr>
            <w:tcW w:w="2444" w:type="dxa"/>
            <w:shd w:val="clear" w:color="auto" w:fill="auto"/>
            <w:tcMar>
              <w:left w:w="98" w:type="dxa"/>
            </w:tcMar>
          </w:tcPr>
          <w:p w:rsidR="00366217" w:rsidRDefault="00FD1DB0">
            <w:pPr>
              <w:suppressAutoHyphens w:val="0"/>
              <w:spacing w:after="0"/>
              <w:jc w:val="both"/>
              <w:rPr>
                <w:rFonts w:ascii="Calibri" w:eastAsia="Calibri" w:hAnsi="Calibri" w:cs="Arial"/>
              </w:rPr>
            </w:pPr>
            <w:r>
              <w:rPr>
                <w:rFonts w:eastAsia="Calibri" w:cs="Arial"/>
              </w:rPr>
              <w:t>Art. 5, 31) UCC</w:t>
            </w:r>
          </w:p>
        </w:tc>
      </w:tr>
      <w:tr w:rsidR="00366217" w:rsidRPr="007E5404">
        <w:tc>
          <w:tcPr>
            <w:tcW w:w="4786" w:type="dxa"/>
            <w:shd w:val="clear" w:color="auto" w:fill="auto"/>
            <w:tcMar>
              <w:left w:w="98" w:type="dxa"/>
            </w:tcMar>
          </w:tcPr>
          <w:p w:rsidR="00366217" w:rsidRDefault="00FD1DB0">
            <w:pPr>
              <w:suppressAutoHyphens w:val="0"/>
              <w:spacing w:after="0"/>
              <w:jc w:val="both"/>
            </w:pPr>
            <w:r>
              <w:rPr>
                <w:rFonts w:eastAsia="Calibri" w:cs="Arial"/>
              </w:rPr>
              <w:t>Een passende staat van dienst op het gebied van de naleving van douanevereisten</w:t>
            </w:r>
          </w:p>
        </w:tc>
        <w:tc>
          <w:tcPr>
            <w:tcW w:w="989" w:type="dxa"/>
            <w:shd w:val="clear" w:color="auto" w:fill="auto"/>
            <w:tcMar>
              <w:left w:w="98" w:type="dxa"/>
            </w:tcMar>
            <w:vAlign w:val="center"/>
          </w:tcPr>
          <w:p w:rsidR="00366217" w:rsidRDefault="00FD1DB0">
            <w:pPr>
              <w:suppressAutoHyphens w:val="0"/>
              <w:spacing w:after="0"/>
              <w:jc w:val="center"/>
              <w:rPr>
                <w:rFonts w:ascii="Calibri" w:eastAsia="Calibri" w:hAnsi="Calibri" w:cs="Arial"/>
              </w:rPr>
            </w:pPr>
            <w:r>
              <w:rPr>
                <w:rFonts w:eastAsia="Calibri" w:cs="Arial"/>
              </w:rPr>
              <w:t>X</w:t>
            </w:r>
          </w:p>
        </w:tc>
        <w:tc>
          <w:tcPr>
            <w:tcW w:w="993" w:type="dxa"/>
            <w:shd w:val="clear" w:color="auto" w:fill="auto"/>
            <w:tcMar>
              <w:left w:w="98" w:type="dxa"/>
            </w:tcMar>
            <w:vAlign w:val="center"/>
          </w:tcPr>
          <w:p w:rsidR="00366217" w:rsidRDefault="00FD1DB0">
            <w:pPr>
              <w:suppressAutoHyphens w:val="0"/>
              <w:spacing w:after="0"/>
              <w:jc w:val="center"/>
              <w:rPr>
                <w:rFonts w:ascii="Calibri" w:eastAsia="Calibri" w:hAnsi="Calibri" w:cs="Arial"/>
              </w:rPr>
            </w:pPr>
            <w:r>
              <w:rPr>
                <w:rFonts w:eastAsia="Calibri" w:cs="Arial"/>
              </w:rPr>
              <w:t>X</w:t>
            </w:r>
          </w:p>
        </w:tc>
        <w:tc>
          <w:tcPr>
            <w:tcW w:w="2444" w:type="dxa"/>
            <w:shd w:val="clear" w:color="auto" w:fill="auto"/>
            <w:tcMar>
              <w:left w:w="98" w:type="dxa"/>
            </w:tcMar>
          </w:tcPr>
          <w:p w:rsidR="00366217" w:rsidRDefault="00FD1DB0">
            <w:pPr>
              <w:suppressAutoHyphens w:val="0"/>
              <w:spacing w:after="0"/>
              <w:jc w:val="both"/>
              <w:rPr>
                <w:lang w:val="en-US"/>
              </w:rPr>
            </w:pPr>
            <w:r>
              <w:rPr>
                <w:rFonts w:eastAsia="Calibri" w:cs="Arial"/>
                <w:lang w:val="en-US"/>
              </w:rPr>
              <w:t>Art. 39, a) UCC</w:t>
            </w:r>
          </w:p>
          <w:p w:rsidR="00366217" w:rsidRDefault="00FD1DB0">
            <w:pPr>
              <w:suppressAutoHyphens w:val="0"/>
              <w:spacing w:after="0"/>
              <w:jc w:val="both"/>
              <w:rPr>
                <w:lang w:val="en-US"/>
              </w:rPr>
            </w:pPr>
            <w:r>
              <w:rPr>
                <w:rFonts w:eastAsia="Calibri" w:cs="Arial"/>
                <w:lang w:val="en-US"/>
              </w:rPr>
              <w:t>Art. 25 DA</w:t>
            </w:r>
          </w:p>
        </w:tc>
      </w:tr>
      <w:tr w:rsidR="00366217" w:rsidRPr="007E5404">
        <w:tc>
          <w:tcPr>
            <w:tcW w:w="4786" w:type="dxa"/>
            <w:shd w:val="clear" w:color="auto" w:fill="auto"/>
            <w:tcMar>
              <w:left w:w="98" w:type="dxa"/>
            </w:tcMar>
          </w:tcPr>
          <w:p w:rsidR="00366217" w:rsidRDefault="00FD1DB0">
            <w:pPr>
              <w:suppressAutoHyphens w:val="0"/>
              <w:spacing w:after="0"/>
              <w:jc w:val="both"/>
            </w:pPr>
            <w:r>
              <w:rPr>
                <w:rFonts w:eastAsia="Calibri" w:cs="Arial"/>
                <w:lang w:bidi="nl-NL"/>
              </w:rPr>
              <w:t>Deugdelijke handels- en vervoersadministratie</w:t>
            </w:r>
          </w:p>
        </w:tc>
        <w:tc>
          <w:tcPr>
            <w:tcW w:w="989" w:type="dxa"/>
            <w:shd w:val="clear" w:color="auto" w:fill="auto"/>
            <w:tcMar>
              <w:left w:w="98" w:type="dxa"/>
            </w:tcMar>
            <w:vAlign w:val="center"/>
          </w:tcPr>
          <w:p w:rsidR="00366217" w:rsidRDefault="00FD1DB0">
            <w:pPr>
              <w:suppressAutoHyphens w:val="0"/>
              <w:spacing w:after="0"/>
              <w:jc w:val="center"/>
              <w:rPr>
                <w:rFonts w:ascii="Calibri" w:eastAsia="Calibri" w:hAnsi="Calibri" w:cs="Arial"/>
              </w:rPr>
            </w:pPr>
            <w:r>
              <w:rPr>
                <w:rFonts w:eastAsia="Calibri" w:cs="Arial"/>
              </w:rPr>
              <w:t>X</w:t>
            </w:r>
          </w:p>
        </w:tc>
        <w:tc>
          <w:tcPr>
            <w:tcW w:w="993" w:type="dxa"/>
            <w:shd w:val="clear" w:color="auto" w:fill="auto"/>
            <w:tcMar>
              <w:left w:w="98" w:type="dxa"/>
            </w:tcMar>
            <w:vAlign w:val="center"/>
          </w:tcPr>
          <w:p w:rsidR="00366217" w:rsidRDefault="00FD1DB0">
            <w:pPr>
              <w:suppressAutoHyphens w:val="0"/>
              <w:spacing w:after="0"/>
              <w:jc w:val="center"/>
              <w:rPr>
                <w:rFonts w:ascii="Calibri" w:eastAsia="Calibri" w:hAnsi="Calibri" w:cs="Arial"/>
              </w:rPr>
            </w:pPr>
            <w:r>
              <w:rPr>
                <w:rFonts w:eastAsia="Calibri" w:cs="Arial"/>
              </w:rPr>
              <w:t>X</w:t>
            </w:r>
          </w:p>
        </w:tc>
        <w:tc>
          <w:tcPr>
            <w:tcW w:w="2444" w:type="dxa"/>
            <w:shd w:val="clear" w:color="auto" w:fill="auto"/>
            <w:tcMar>
              <w:left w:w="98" w:type="dxa"/>
            </w:tcMar>
          </w:tcPr>
          <w:p w:rsidR="00366217" w:rsidRDefault="00FD1DB0">
            <w:pPr>
              <w:suppressAutoHyphens w:val="0"/>
              <w:spacing w:after="0"/>
              <w:jc w:val="both"/>
              <w:rPr>
                <w:lang w:val="en-US"/>
              </w:rPr>
            </w:pPr>
            <w:r>
              <w:rPr>
                <w:rFonts w:eastAsia="Calibri" w:cs="Arial"/>
                <w:lang w:val="en-US"/>
              </w:rPr>
              <w:t>Art. 39, b) UCC</w:t>
            </w:r>
          </w:p>
          <w:p w:rsidR="00366217" w:rsidRDefault="00FD1DB0">
            <w:pPr>
              <w:suppressAutoHyphens w:val="0"/>
              <w:spacing w:after="0"/>
              <w:jc w:val="both"/>
              <w:rPr>
                <w:lang w:val="en-US"/>
              </w:rPr>
            </w:pPr>
            <w:r>
              <w:rPr>
                <w:rFonts w:eastAsia="Calibri" w:cs="Arial"/>
                <w:lang w:val="en-US"/>
              </w:rPr>
              <w:t>Art. 26 DA</w:t>
            </w:r>
          </w:p>
        </w:tc>
      </w:tr>
      <w:tr w:rsidR="00366217" w:rsidRPr="007E5404">
        <w:tc>
          <w:tcPr>
            <w:tcW w:w="4786" w:type="dxa"/>
            <w:shd w:val="clear" w:color="auto" w:fill="auto"/>
            <w:tcMar>
              <w:left w:w="98" w:type="dxa"/>
            </w:tcMar>
          </w:tcPr>
          <w:p w:rsidR="00366217" w:rsidRDefault="00FD1DB0">
            <w:pPr>
              <w:suppressAutoHyphens w:val="0"/>
              <w:spacing w:after="0"/>
              <w:jc w:val="both"/>
            </w:pPr>
            <w:r>
              <w:rPr>
                <w:rFonts w:eastAsia="Calibri" w:cs="Arial"/>
                <w:lang w:bidi="nl-NL"/>
              </w:rPr>
              <w:t>Financiële solvabiliteit</w:t>
            </w:r>
          </w:p>
        </w:tc>
        <w:tc>
          <w:tcPr>
            <w:tcW w:w="989" w:type="dxa"/>
            <w:shd w:val="clear" w:color="auto" w:fill="auto"/>
            <w:tcMar>
              <w:left w:w="98" w:type="dxa"/>
            </w:tcMar>
            <w:vAlign w:val="center"/>
          </w:tcPr>
          <w:p w:rsidR="00366217" w:rsidRDefault="00FD1DB0">
            <w:pPr>
              <w:suppressAutoHyphens w:val="0"/>
              <w:spacing w:after="0"/>
              <w:jc w:val="center"/>
              <w:rPr>
                <w:rFonts w:ascii="Calibri" w:eastAsia="Calibri" w:hAnsi="Calibri" w:cs="Arial"/>
              </w:rPr>
            </w:pPr>
            <w:r>
              <w:rPr>
                <w:rFonts w:eastAsia="Calibri" w:cs="Arial"/>
              </w:rPr>
              <w:t>X</w:t>
            </w:r>
          </w:p>
        </w:tc>
        <w:tc>
          <w:tcPr>
            <w:tcW w:w="993" w:type="dxa"/>
            <w:shd w:val="clear" w:color="auto" w:fill="auto"/>
            <w:tcMar>
              <w:left w:w="98" w:type="dxa"/>
            </w:tcMar>
            <w:vAlign w:val="center"/>
          </w:tcPr>
          <w:p w:rsidR="00366217" w:rsidRDefault="00FD1DB0">
            <w:pPr>
              <w:suppressAutoHyphens w:val="0"/>
              <w:spacing w:after="0"/>
              <w:jc w:val="center"/>
              <w:rPr>
                <w:rFonts w:ascii="Calibri" w:eastAsia="Calibri" w:hAnsi="Calibri" w:cs="Arial"/>
              </w:rPr>
            </w:pPr>
            <w:r>
              <w:rPr>
                <w:rFonts w:eastAsia="Calibri" w:cs="Arial"/>
              </w:rPr>
              <w:t>X</w:t>
            </w:r>
          </w:p>
        </w:tc>
        <w:tc>
          <w:tcPr>
            <w:tcW w:w="2444" w:type="dxa"/>
            <w:shd w:val="clear" w:color="auto" w:fill="auto"/>
            <w:tcMar>
              <w:left w:w="98" w:type="dxa"/>
            </w:tcMar>
          </w:tcPr>
          <w:p w:rsidR="00366217" w:rsidRDefault="00FD1DB0">
            <w:pPr>
              <w:suppressAutoHyphens w:val="0"/>
              <w:spacing w:after="0"/>
              <w:jc w:val="both"/>
              <w:rPr>
                <w:lang w:val="en-US"/>
              </w:rPr>
            </w:pPr>
            <w:r>
              <w:rPr>
                <w:rFonts w:eastAsia="Calibri" w:cs="Arial"/>
                <w:lang w:val="en-US"/>
              </w:rPr>
              <w:t>Art. 39 c) UCC</w:t>
            </w:r>
          </w:p>
          <w:p w:rsidR="00366217" w:rsidRDefault="00FD1DB0">
            <w:pPr>
              <w:suppressAutoHyphens w:val="0"/>
              <w:spacing w:after="0"/>
              <w:jc w:val="both"/>
              <w:rPr>
                <w:lang w:val="en-US"/>
              </w:rPr>
            </w:pPr>
            <w:r>
              <w:rPr>
                <w:rFonts w:eastAsia="Calibri" w:cs="Arial"/>
                <w:lang w:val="en-US"/>
              </w:rPr>
              <w:t>Art. 27 DA</w:t>
            </w:r>
          </w:p>
        </w:tc>
      </w:tr>
      <w:tr w:rsidR="00366217" w:rsidRPr="007E5404">
        <w:tc>
          <w:tcPr>
            <w:tcW w:w="4786" w:type="dxa"/>
            <w:shd w:val="clear" w:color="auto" w:fill="auto"/>
            <w:tcMar>
              <w:left w:w="98" w:type="dxa"/>
            </w:tcMar>
          </w:tcPr>
          <w:p w:rsidR="00366217" w:rsidRDefault="00FD1DB0">
            <w:pPr>
              <w:suppressAutoHyphens w:val="0"/>
              <w:spacing w:after="0"/>
              <w:jc w:val="both"/>
            </w:pPr>
            <w:r>
              <w:rPr>
                <w:rFonts w:eastAsia="Calibri" w:cs="Arial"/>
                <w:lang w:bidi="nl-NL"/>
              </w:rPr>
              <w:t>Praktische vakbekwaamheid of beroepskwalificaties</w:t>
            </w:r>
          </w:p>
        </w:tc>
        <w:tc>
          <w:tcPr>
            <w:tcW w:w="989" w:type="dxa"/>
            <w:shd w:val="clear" w:color="auto" w:fill="auto"/>
            <w:tcMar>
              <w:left w:w="98" w:type="dxa"/>
            </w:tcMar>
            <w:vAlign w:val="center"/>
          </w:tcPr>
          <w:p w:rsidR="00366217" w:rsidRDefault="00FD1DB0">
            <w:pPr>
              <w:suppressAutoHyphens w:val="0"/>
              <w:spacing w:after="0"/>
              <w:jc w:val="center"/>
              <w:rPr>
                <w:rFonts w:ascii="Calibri" w:eastAsia="Calibri" w:hAnsi="Calibri" w:cs="Arial"/>
              </w:rPr>
            </w:pPr>
            <w:r>
              <w:rPr>
                <w:rFonts w:eastAsia="Calibri" w:cs="Arial"/>
              </w:rPr>
              <w:t>X</w:t>
            </w:r>
          </w:p>
        </w:tc>
        <w:tc>
          <w:tcPr>
            <w:tcW w:w="993" w:type="dxa"/>
            <w:shd w:val="clear" w:color="auto" w:fill="auto"/>
            <w:tcMar>
              <w:left w:w="98" w:type="dxa"/>
            </w:tcMar>
            <w:vAlign w:val="center"/>
          </w:tcPr>
          <w:p w:rsidR="00366217" w:rsidRDefault="00366217">
            <w:pPr>
              <w:suppressAutoHyphens w:val="0"/>
              <w:spacing w:after="0"/>
              <w:jc w:val="center"/>
              <w:rPr>
                <w:rFonts w:cs="Arial"/>
              </w:rPr>
            </w:pPr>
          </w:p>
        </w:tc>
        <w:tc>
          <w:tcPr>
            <w:tcW w:w="2444" w:type="dxa"/>
            <w:shd w:val="clear" w:color="auto" w:fill="auto"/>
            <w:tcMar>
              <w:left w:w="98" w:type="dxa"/>
            </w:tcMar>
          </w:tcPr>
          <w:p w:rsidR="00366217" w:rsidRDefault="00FD1DB0">
            <w:pPr>
              <w:suppressAutoHyphens w:val="0"/>
              <w:spacing w:after="0"/>
              <w:jc w:val="both"/>
              <w:rPr>
                <w:lang w:val="en-US"/>
              </w:rPr>
            </w:pPr>
            <w:r>
              <w:rPr>
                <w:rFonts w:eastAsia="Calibri" w:cs="Arial"/>
                <w:lang w:val="en-US"/>
              </w:rPr>
              <w:t>Art. 39, d) UCC</w:t>
            </w:r>
          </w:p>
          <w:p w:rsidR="00366217" w:rsidRDefault="00FD1DB0">
            <w:pPr>
              <w:suppressAutoHyphens w:val="0"/>
              <w:spacing w:after="0"/>
              <w:jc w:val="both"/>
              <w:rPr>
                <w:lang w:val="en-US"/>
              </w:rPr>
            </w:pPr>
            <w:r>
              <w:rPr>
                <w:rFonts w:eastAsia="Calibri" w:cs="Arial"/>
                <w:lang w:val="en-US"/>
              </w:rPr>
              <w:t>Art. 28 DA</w:t>
            </w:r>
          </w:p>
        </w:tc>
      </w:tr>
      <w:tr w:rsidR="00366217" w:rsidRPr="007E5404">
        <w:tc>
          <w:tcPr>
            <w:tcW w:w="4786" w:type="dxa"/>
            <w:shd w:val="clear" w:color="auto" w:fill="auto"/>
            <w:tcMar>
              <w:left w:w="98" w:type="dxa"/>
            </w:tcMar>
          </w:tcPr>
          <w:p w:rsidR="00366217" w:rsidRDefault="00FD1DB0">
            <w:pPr>
              <w:suppressAutoHyphens w:val="0"/>
              <w:spacing w:after="0"/>
              <w:jc w:val="both"/>
              <w:rPr>
                <w:rFonts w:ascii="Calibri" w:eastAsia="Calibri" w:hAnsi="Calibri" w:cs="Arial"/>
              </w:rPr>
            </w:pPr>
            <w:r>
              <w:rPr>
                <w:rFonts w:eastAsia="Calibri" w:cs="Arial"/>
              </w:rPr>
              <w:t>Veiligheidsnormen</w:t>
            </w:r>
          </w:p>
        </w:tc>
        <w:tc>
          <w:tcPr>
            <w:tcW w:w="989" w:type="dxa"/>
            <w:shd w:val="clear" w:color="auto" w:fill="auto"/>
            <w:tcMar>
              <w:left w:w="98" w:type="dxa"/>
            </w:tcMar>
            <w:vAlign w:val="center"/>
          </w:tcPr>
          <w:p w:rsidR="00366217" w:rsidRDefault="00366217">
            <w:pPr>
              <w:suppressAutoHyphens w:val="0"/>
              <w:spacing w:after="0"/>
              <w:jc w:val="center"/>
              <w:rPr>
                <w:rFonts w:cs="Arial"/>
              </w:rPr>
            </w:pPr>
          </w:p>
        </w:tc>
        <w:tc>
          <w:tcPr>
            <w:tcW w:w="993" w:type="dxa"/>
            <w:shd w:val="clear" w:color="auto" w:fill="auto"/>
            <w:tcMar>
              <w:left w:w="98" w:type="dxa"/>
            </w:tcMar>
            <w:vAlign w:val="center"/>
          </w:tcPr>
          <w:p w:rsidR="00366217" w:rsidRDefault="00FD1DB0">
            <w:pPr>
              <w:suppressAutoHyphens w:val="0"/>
              <w:spacing w:after="0"/>
              <w:jc w:val="center"/>
              <w:rPr>
                <w:rFonts w:ascii="Calibri" w:eastAsia="Calibri" w:hAnsi="Calibri" w:cs="Arial"/>
              </w:rPr>
            </w:pPr>
            <w:r>
              <w:rPr>
                <w:rFonts w:eastAsia="Calibri" w:cs="Arial"/>
              </w:rPr>
              <w:t>X</w:t>
            </w:r>
          </w:p>
        </w:tc>
        <w:tc>
          <w:tcPr>
            <w:tcW w:w="2444" w:type="dxa"/>
            <w:shd w:val="clear" w:color="auto" w:fill="auto"/>
            <w:tcMar>
              <w:left w:w="98" w:type="dxa"/>
            </w:tcMar>
          </w:tcPr>
          <w:p w:rsidR="00366217" w:rsidRDefault="00FD1DB0">
            <w:pPr>
              <w:suppressAutoHyphens w:val="0"/>
              <w:spacing w:after="0"/>
              <w:jc w:val="both"/>
              <w:rPr>
                <w:lang w:val="en-US"/>
              </w:rPr>
            </w:pPr>
            <w:r>
              <w:rPr>
                <w:rFonts w:eastAsia="Calibri" w:cs="Arial"/>
                <w:lang w:val="en-US"/>
              </w:rPr>
              <w:t>Art. 39, e) UCC</w:t>
            </w:r>
          </w:p>
          <w:p w:rsidR="00366217" w:rsidRDefault="00FD1DB0">
            <w:pPr>
              <w:suppressAutoHyphens w:val="0"/>
              <w:spacing w:after="0"/>
              <w:jc w:val="both"/>
              <w:rPr>
                <w:lang w:val="en-US"/>
              </w:rPr>
            </w:pPr>
            <w:r>
              <w:rPr>
                <w:rFonts w:eastAsia="Calibri" w:cs="Arial"/>
                <w:lang w:val="en-US"/>
              </w:rPr>
              <w:t>Art. 29 DA</w:t>
            </w:r>
          </w:p>
        </w:tc>
      </w:tr>
    </w:tbl>
    <w:p w:rsidR="00366217" w:rsidRDefault="00366217">
      <w:pPr>
        <w:ind w:left="1080"/>
        <w:jc w:val="both"/>
        <w:rPr>
          <w:rFonts w:ascii="Calibri" w:eastAsia="Calibri" w:hAnsi="Calibri" w:cstheme="minorHAnsi"/>
          <w:lang w:val="en-US"/>
        </w:rPr>
      </w:pPr>
    </w:p>
    <w:p w:rsidR="00366217" w:rsidRDefault="00FD1DB0">
      <w:pPr>
        <w:ind w:left="1080"/>
        <w:jc w:val="both"/>
        <w:rPr>
          <w:rFonts w:cstheme="minorHAnsi"/>
        </w:rPr>
      </w:pPr>
      <w:r>
        <w:rPr>
          <w:rFonts w:cstheme="minorHAnsi"/>
        </w:rPr>
        <w:t>AEO: wat verandert er vanaf 1 mei 2016? Praktische implicaties.</w:t>
      </w:r>
    </w:p>
    <w:p w:rsidR="00366217" w:rsidRDefault="00FD1DB0">
      <w:pPr>
        <w:pStyle w:val="Lijstalinea"/>
        <w:numPr>
          <w:ilvl w:val="0"/>
          <w:numId w:val="39"/>
        </w:numPr>
        <w:jc w:val="both"/>
        <w:rPr>
          <w:rFonts w:cstheme="minorHAnsi"/>
        </w:rPr>
      </w:pPr>
      <w:r>
        <w:rPr>
          <w:rFonts w:cstheme="minorHAnsi"/>
        </w:rPr>
        <w:t>De naam: een AEO-certificaat wordt een AEO-vergunning.</w:t>
      </w:r>
    </w:p>
    <w:p w:rsidR="00366217" w:rsidRDefault="00FD1DB0">
      <w:pPr>
        <w:pStyle w:val="Lijstalinea"/>
        <w:numPr>
          <w:ilvl w:val="0"/>
          <w:numId w:val="39"/>
        </w:numPr>
        <w:jc w:val="both"/>
        <w:rPr>
          <w:rFonts w:cstheme="minorHAnsi"/>
        </w:rPr>
      </w:pPr>
      <w:r>
        <w:rPr>
          <w:rFonts w:cstheme="minorHAnsi"/>
        </w:rPr>
        <w:t>De UCC/DWU kent een afzonderlijke vergunning voor douanevereenvoudigingen (AEO-C) en een afzonderlijke vergunning voor veiligheid (AEO-S). Wanneer een aanvrager recht heeft op beide vergunningen, wordt een gecombineerde vergunning verstrekt waardoor er maar 1 referentienummer is (omwille van praktische redenen) .</w:t>
      </w:r>
    </w:p>
    <w:p w:rsidR="00366217" w:rsidRDefault="00FD1DB0">
      <w:pPr>
        <w:pStyle w:val="Lijstalinea"/>
        <w:numPr>
          <w:ilvl w:val="0"/>
          <w:numId w:val="39"/>
        </w:numPr>
        <w:jc w:val="both"/>
        <w:rPr>
          <w:rFonts w:cstheme="minorHAnsi"/>
        </w:rPr>
      </w:pPr>
      <w:r>
        <w:rPr>
          <w:rFonts w:cstheme="minorHAnsi"/>
        </w:rPr>
        <w:t>De benaming AEOF verdwijnt hoewel AEOF nog opgenomen wordt in bijlage A van IA.</w:t>
      </w:r>
    </w:p>
    <w:p w:rsidR="00366217" w:rsidRDefault="00FD1DB0">
      <w:pPr>
        <w:pStyle w:val="Lijstalinea"/>
        <w:numPr>
          <w:ilvl w:val="0"/>
          <w:numId w:val="40"/>
        </w:numPr>
        <w:jc w:val="both"/>
        <w:rPr>
          <w:rFonts w:cstheme="minorHAnsi"/>
        </w:rPr>
      </w:pPr>
      <w:r>
        <w:rPr>
          <w:rFonts w:cstheme="minorHAnsi"/>
        </w:rPr>
        <w:t>NIEUW : De AEO-S hoeft in een (weder-)uitvoeraangifte geen safety &amp; security-gegevens op te nemen. (geen EXC-data volgens kolom A1 van bijlage B)</w:t>
      </w:r>
    </w:p>
    <w:p w:rsidR="00366217" w:rsidRDefault="00FD1DB0">
      <w:pPr>
        <w:pStyle w:val="Lijstalinea"/>
        <w:numPr>
          <w:ilvl w:val="0"/>
          <w:numId w:val="40"/>
        </w:numPr>
        <w:jc w:val="both"/>
        <w:rPr>
          <w:rFonts w:cstheme="minorHAnsi"/>
        </w:rPr>
      </w:pPr>
      <w:r>
        <w:rPr>
          <w:rFonts w:cstheme="minorHAnsi"/>
        </w:rPr>
        <w:t>De faciliteit 'beperkte dataset ENS' vervalt. Hiervan werd in de praktijk vrijwel geen gebruik gemaakt.</w:t>
      </w:r>
    </w:p>
    <w:p w:rsidR="00366217" w:rsidRDefault="00FD1DB0">
      <w:pPr>
        <w:ind w:left="1080"/>
        <w:jc w:val="both"/>
        <w:rPr>
          <w:rFonts w:cstheme="minorHAnsi"/>
        </w:rPr>
      </w:pPr>
      <w:r>
        <w:rPr>
          <w:rFonts w:cstheme="minorHAnsi"/>
        </w:rPr>
        <w:t>Voor veel douanevereenvoudigingen moet het bedrijf AEO zijn of ten minste aan enkele AEO-criteria voldoen als volgt :.</w:t>
      </w:r>
    </w:p>
    <w:p w:rsidR="00366217" w:rsidRDefault="00FD1DB0">
      <w:pPr>
        <w:ind w:left="1080"/>
        <w:jc w:val="both"/>
        <w:rPr>
          <w:rFonts w:cstheme="minorHAnsi"/>
        </w:rPr>
      </w:pPr>
      <w:r>
        <w:rPr>
          <w:rFonts w:cstheme="minorHAnsi"/>
          <w:b/>
          <w:u w:val="single"/>
        </w:rPr>
        <w:t>AEOC certificaat nodig om te genieten van</w:t>
      </w:r>
      <w:r>
        <w:rPr>
          <w:rFonts w:cstheme="minorHAnsi"/>
        </w:rPr>
        <w:t xml:space="preserve">: </w:t>
      </w:r>
    </w:p>
    <w:p w:rsidR="00366217" w:rsidRDefault="00FD1DB0">
      <w:pPr>
        <w:ind w:left="1080"/>
        <w:jc w:val="both"/>
        <w:rPr>
          <w:rFonts w:cstheme="minorHAnsi"/>
        </w:rPr>
      </w:pPr>
      <w:r>
        <w:rPr>
          <w:rFonts w:cstheme="minorHAnsi"/>
        </w:rPr>
        <w:tab/>
      </w:r>
      <w:r>
        <w:rPr>
          <w:rFonts w:cstheme="minorHAnsi"/>
        </w:rPr>
        <w:tab/>
        <w:t>- vermindering borg voor bestaande douaneschulden</w:t>
      </w:r>
    </w:p>
    <w:p w:rsidR="00366217" w:rsidRDefault="00FD1DB0">
      <w:pPr>
        <w:ind w:left="1080"/>
        <w:jc w:val="both"/>
        <w:rPr>
          <w:rFonts w:cstheme="minorHAnsi"/>
        </w:rPr>
      </w:pPr>
      <w:r>
        <w:rPr>
          <w:rFonts w:cstheme="minorHAnsi"/>
        </w:rPr>
        <w:tab/>
      </w:r>
      <w:r>
        <w:rPr>
          <w:rFonts w:cstheme="minorHAnsi"/>
        </w:rPr>
        <w:tab/>
        <w:t>- centralised clearance</w:t>
      </w:r>
    </w:p>
    <w:p w:rsidR="00366217" w:rsidRDefault="00FD1DB0">
      <w:pPr>
        <w:ind w:left="1080"/>
        <w:jc w:val="both"/>
        <w:rPr>
          <w:rFonts w:cstheme="minorHAnsi"/>
        </w:rPr>
      </w:pPr>
      <w:r>
        <w:rPr>
          <w:rFonts w:cstheme="minorHAnsi"/>
        </w:rPr>
        <w:tab/>
      </w:r>
      <w:r>
        <w:rPr>
          <w:rFonts w:cstheme="minorHAnsi"/>
        </w:rPr>
        <w:tab/>
        <w:t>- EiR met ontheffing van aanbrengen goederen</w:t>
      </w:r>
    </w:p>
    <w:p w:rsidR="00366217" w:rsidRDefault="00FD1DB0">
      <w:pPr>
        <w:ind w:left="1080"/>
        <w:jc w:val="both"/>
        <w:rPr>
          <w:rFonts w:cstheme="minorHAnsi"/>
        </w:rPr>
      </w:pPr>
      <w:r>
        <w:rPr>
          <w:rFonts w:cstheme="minorHAnsi"/>
        </w:rPr>
        <w:tab/>
      </w:r>
      <w:r>
        <w:rPr>
          <w:rFonts w:cstheme="minorHAnsi"/>
        </w:rPr>
        <w:tab/>
        <w:t>- Self Assessment</w:t>
      </w:r>
    </w:p>
    <w:p w:rsidR="00366217" w:rsidRDefault="00FD1DB0">
      <w:pPr>
        <w:ind w:left="1080"/>
        <w:jc w:val="both"/>
        <w:rPr>
          <w:rFonts w:cstheme="minorHAnsi"/>
          <w:b/>
          <w:u w:val="single"/>
        </w:rPr>
      </w:pPr>
      <w:r>
        <w:rPr>
          <w:rFonts w:cstheme="minorHAnsi"/>
          <w:b/>
          <w:u w:val="single"/>
        </w:rPr>
        <w:t>Alleen aan AEOC-criteria voldoen om te kunnen genieten van:</w:t>
      </w:r>
    </w:p>
    <w:p w:rsidR="00366217" w:rsidRDefault="00FD1DB0">
      <w:pPr>
        <w:ind w:left="1080"/>
        <w:jc w:val="both"/>
        <w:rPr>
          <w:rFonts w:cstheme="minorHAnsi"/>
        </w:rPr>
      </w:pPr>
      <w:r>
        <w:rPr>
          <w:rFonts w:cstheme="minorHAnsi"/>
        </w:rPr>
        <w:tab/>
      </w:r>
      <w:r>
        <w:rPr>
          <w:rFonts w:cstheme="minorHAnsi"/>
        </w:rPr>
        <w:tab/>
        <w:t>- vermindering/ontheffing borg voor mogelijke douaneschulden</w:t>
      </w:r>
    </w:p>
    <w:p w:rsidR="00366217" w:rsidRDefault="00FD1DB0">
      <w:pPr>
        <w:ind w:left="1080"/>
        <w:jc w:val="both"/>
        <w:rPr>
          <w:rFonts w:cstheme="minorHAnsi"/>
        </w:rPr>
      </w:pPr>
      <w:r>
        <w:rPr>
          <w:rFonts w:cstheme="minorHAnsi"/>
        </w:rPr>
        <w:tab/>
      </w:r>
      <w:r>
        <w:rPr>
          <w:rFonts w:cstheme="minorHAnsi"/>
        </w:rPr>
        <w:tab/>
        <w:t>- EiR zonder ontheffing van aanbrengen goederen</w:t>
      </w:r>
    </w:p>
    <w:p w:rsidR="00366217" w:rsidRDefault="00FD1DB0">
      <w:pPr>
        <w:ind w:left="1080"/>
        <w:jc w:val="both"/>
        <w:rPr>
          <w:rFonts w:cstheme="minorHAnsi"/>
        </w:rPr>
      </w:pPr>
      <w:r>
        <w:rPr>
          <w:rFonts w:cstheme="minorHAnsi"/>
        </w:rPr>
        <w:tab/>
      </w:r>
      <w:r>
        <w:rPr>
          <w:rFonts w:cstheme="minorHAnsi"/>
        </w:rPr>
        <w:tab/>
        <w:t>- RSS, bananenweger, toegelaten geadresseerde (TIR) …</w:t>
      </w:r>
    </w:p>
    <w:p w:rsidR="00366217" w:rsidRDefault="00FD1DB0">
      <w:pPr>
        <w:ind w:left="1080"/>
        <w:jc w:val="both"/>
        <w:rPr>
          <w:rFonts w:cstheme="minorHAnsi"/>
          <w:b/>
          <w:u w:val="single"/>
        </w:rPr>
      </w:pPr>
      <w:r>
        <w:rPr>
          <w:rFonts w:cstheme="minorHAnsi"/>
          <w:b/>
          <w:u w:val="single"/>
        </w:rPr>
        <w:t>Waaraan moet een AEO vanaf 1 mei 2016 voldoen?</w:t>
      </w:r>
    </w:p>
    <w:p w:rsidR="00366217" w:rsidRDefault="00FD1DB0">
      <w:pPr>
        <w:ind w:left="1080"/>
        <w:jc w:val="both"/>
        <w:rPr>
          <w:rFonts w:cstheme="minorHAnsi"/>
        </w:rPr>
      </w:pPr>
      <w:r>
        <w:rPr>
          <w:rFonts w:cstheme="minorHAnsi"/>
        </w:rPr>
        <w:t>Om een AEO-vergunning te krijgen, zal  de onderneming aan de volgende eisen moeten voldoen:</w:t>
      </w:r>
    </w:p>
    <w:p w:rsidR="00366217" w:rsidRDefault="00FD1DB0">
      <w:pPr>
        <w:pStyle w:val="Lijstalinea"/>
        <w:numPr>
          <w:ilvl w:val="0"/>
          <w:numId w:val="41"/>
        </w:numPr>
        <w:jc w:val="both"/>
        <w:rPr>
          <w:rFonts w:cstheme="minorHAnsi"/>
        </w:rPr>
      </w:pPr>
      <w:r>
        <w:rPr>
          <w:rFonts w:cstheme="minorHAnsi"/>
          <w:b/>
        </w:rPr>
        <w:t>Nieuw:</w:t>
      </w:r>
      <w:r>
        <w:rPr>
          <w:rFonts w:cstheme="minorHAnsi"/>
        </w:rPr>
        <w:t xml:space="preserve"> hij moet praktische vakbekwaamheid (= ervaring, voorbije 3 jaar) of beroepskwalificaties (kennis door opleiding)  hebben (AEO-C). </w:t>
      </w:r>
    </w:p>
    <w:p w:rsidR="00366217" w:rsidRDefault="00FD1DB0">
      <w:pPr>
        <w:pStyle w:val="Lijstalinea"/>
        <w:numPr>
          <w:ilvl w:val="0"/>
          <w:numId w:val="41"/>
        </w:numPr>
        <w:jc w:val="both"/>
        <w:rPr>
          <w:rFonts w:cstheme="minorHAnsi"/>
        </w:rPr>
      </w:pPr>
      <w:r>
        <w:rPr>
          <w:rFonts w:cstheme="minorHAnsi"/>
          <w:b/>
        </w:rPr>
        <w:t>Nieuw</w:t>
      </w:r>
      <w:r>
        <w:rPr>
          <w:rFonts w:cstheme="minorHAnsi"/>
          <w:b/>
          <w:u w:val="single"/>
        </w:rPr>
        <w:t>:</w:t>
      </w:r>
      <w:r>
        <w:rPr>
          <w:rFonts w:cstheme="minorHAnsi"/>
        </w:rPr>
        <w:t xml:space="preserve"> hij mag de douane- of </w:t>
      </w:r>
      <w:r>
        <w:rPr>
          <w:rFonts w:cstheme="minorHAnsi"/>
          <w:b/>
        </w:rPr>
        <w:t>belasting</w:t>
      </w:r>
      <w:r>
        <w:rPr>
          <w:rFonts w:cstheme="minorHAnsi"/>
        </w:rPr>
        <w:t>wetgeving niet ernstig hebben overtreden. Compliance op vlak van douane bestond al,  nu dus ook op vlak van belastingvoorschriften.</w:t>
      </w:r>
    </w:p>
    <w:p w:rsidR="00366217" w:rsidRDefault="00FD1DB0">
      <w:pPr>
        <w:ind w:left="1080"/>
        <w:jc w:val="both"/>
        <w:rPr>
          <w:rFonts w:cstheme="minorHAnsi"/>
        </w:rPr>
      </w:pPr>
      <w:r>
        <w:rPr>
          <w:rFonts w:cstheme="minorHAnsi"/>
        </w:rPr>
        <w:t xml:space="preserve">     Zowel 'praktische vakbekwaamheid of beroepskwalificaties' als 'ernstige overtreding'       wordt in de AEO-guidelines nog nader uitgewerkt.</w:t>
      </w:r>
    </w:p>
    <w:p w:rsidR="00366217" w:rsidRDefault="00FD1DB0">
      <w:pPr>
        <w:pStyle w:val="Lijstalinea"/>
        <w:numPr>
          <w:ilvl w:val="0"/>
          <w:numId w:val="41"/>
        </w:numPr>
        <w:jc w:val="both"/>
        <w:rPr>
          <w:rFonts w:cstheme="minorHAnsi"/>
        </w:rPr>
      </w:pPr>
      <w:r>
        <w:rPr>
          <w:rFonts w:cstheme="minorHAnsi"/>
        </w:rPr>
        <w:t>Hij moet tijdens het logistiek proces zijn activiteiten en goederen goed onder controle hebben.</w:t>
      </w:r>
    </w:p>
    <w:p w:rsidR="00366217" w:rsidRDefault="00FD1DB0">
      <w:pPr>
        <w:pStyle w:val="Lijstalinea"/>
        <w:numPr>
          <w:ilvl w:val="0"/>
          <w:numId w:val="41"/>
        </w:numPr>
        <w:jc w:val="both"/>
        <w:rPr>
          <w:rFonts w:cstheme="minorHAnsi"/>
        </w:rPr>
      </w:pPr>
      <w:r>
        <w:rPr>
          <w:rFonts w:cstheme="minorHAnsi"/>
        </w:rPr>
        <w:t>Hij moet beschikken over een goede solvabiliteit.</w:t>
      </w:r>
    </w:p>
    <w:p w:rsidR="00366217" w:rsidRDefault="00FD1DB0">
      <w:pPr>
        <w:pStyle w:val="Lijstalinea"/>
        <w:numPr>
          <w:ilvl w:val="0"/>
          <w:numId w:val="41"/>
        </w:numPr>
        <w:jc w:val="both"/>
        <w:rPr>
          <w:rFonts w:cstheme="minorHAnsi"/>
        </w:rPr>
      </w:pPr>
      <w:r>
        <w:rPr>
          <w:rFonts w:cstheme="minorHAnsi"/>
        </w:rPr>
        <w:t>Hij moet de veiligheid van de internationale supply-chain waarborgen (AEO-S).</w:t>
      </w:r>
    </w:p>
    <w:p w:rsidR="00366217" w:rsidRDefault="00FD1DB0">
      <w:pPr>
        <w:ind w:left="1080"/>
        <w:jc w:val="both"/>
        <w:rPr>
          <w:rFonts w:cstheme="minorHAnsi"/>
        </w:rPr>
      </w:pPr>
      <w:r>
        <w:rPr>
          <w:rFonts w:cstheme="minorHAnsi"/>
        </w:rPr>
        <w:t>De douane heeft 3 jaar de tijd om bestaande AEO’s te herbeoordelen (zie hiervoor de rubriek hierboven betreffende overgangsmaatregelen) :in principe herbeoordeling AEO-vergunning combineren met herbeoordeling van de andere vergunningen waarvan de firma houder is.</w:t>
      </w:r>
    </w:p>
    <w:p w:rsidR="00366217" w:rsidRDefault="00FD1DB0">
      <w:pPr>
        <w:pStyle w:val="Titredeux"/>
        <w:numPr>
          <w:ilvl w:val="1"/>
          <w:numId w:val="1"/>
        </w:numPr>
        <w:jc w:val="both"/>
        <w:rPr>
          <w:rFonts w:cstheme="minorHAnsi"/>
          <w:b w:val="0"/>
          <w:bCs w:val="0"/>
          <w:color w:val="0070C0"/>
        </w:rPr>
      </w:pPr>
      <w:bookmarkStart w:id="10" w:name="_Toc438135698"/>
      <w:r>
        <w:rPr>
          <w:rStyle w:val="TitredeuxCar"/>
          <w:rFonts w:cstheme="minorHAnsi"/>
          <w:b/>
          <w:bCs/>
        </w:rPr>
        <w:t>Titel II: Factoren die ten grondslag liggen aan de toepassing van in- of uitvoerrechten en andere maatregelen waaraan het goederenverkeer is onderworpen</w:t>
      </w:r>
      <w:bookmarkEnd w:id="10"/>
      <w:r>
        <w:rPr>
          <w:rFonts w:cstheme="minorHAnsi"/>
          <w:b w:val="0"/>
          <w:bCs w:val="0"/>
          <w:color w:val="0070C0"/>
        </w:rPr>
        <w:t>.</w:t>
      </w:r>
    </w:p>
    <w:p w:rsidR="00366217" w:rsidRDefault="00FD1DB0">
      <w:pPr>
        <w:pStyle w:val="Titretrois"/>
        <w:numPr>
          <w:ilvl w:val="2"/>
          <w:numId w:val="1"/>
        </w:numPr>
        <w:jc w:val="both"/>
        <w:rPr>
          <w:rFonts w:cstheme="minorHAnsi"/>
          <w:sz w:val="22"/>
          <w:szCs w:val="22"/>
        </w:rPr>
      </w:pPr>
      <w:bookmarkStart w:id="11" w:name="_Toc438135699"/>
      <w:bookmarkEnd w:id="11"/>
      <w:r>
        <w:rPr>
          <w:rFonts w:cstheme="minorHAnsi"/>
          <w:sz w:val="22"/>
          <w:szCs w:val="22"/>
        </w:rPr>
        <w:t>Bindende tariefinlichting (BTI)</w:t>
      </w:r>
    </w:p>
    <w:p w:rsidR="00366217" w:rsidRDefault="00FD1DB0">
      <w:pPr>
        <w:pStyle w:val="Lijstalinea"/>
        <w:numPr>
          <w:ilvl w:val="0"/>
          <w:numId w:val="3"/>
        </w:numPr>
        <w:jc w:val="both"/>
        <w:rPr>
          <w:rFonts w:cstheme="minorHAnsi"/>
          <w:shd w:val="clear" w:color="auto" w:fill="FFFF00"/>
        </w:rPr>
      </w:pPr>
      <w:r>
        <w:rPr>
          <w:rFonts w:cstheme="minorHAnsi"/>
        </w:rPr>
        <w:t>Artikel 33</w:t>
      </w:r>
      <w:r>
        <w:rPr>
          <w:rStyle w:val="Nadruk"/>
          <w:rFonts w:cs="Calibri"/>
          <w:color w:val="FF0000"/>
        </w:rPr>
        <w:t xml:space="preserve"> </w:t>
      </w:r>
      <w:r>
        <w:rPr>
          <w:rStyle w:val="Nadruk"/>
          <w:rFonts w:cs="Calibri"/>
        </w:rPr>
        <w:t>tot 37 UCC, Art. 19 tot 23 D.A., Art. 17 tot 23 I.A.</w:t>
      </w:r>
    </w:p>
    <w:p w:rsidR="00366217" w:rsidRDefault="00FD1DB0">
      <w:pPr>
        <w:pStyle w:val="Lijstalinea"/>
        <w:numPr>
          <w:ilvl w:val="0"/>
          <w:numId w:val="3"/>
        </w:numPr>
        <w:jc w:val="both"/>
        <w:rPr>
          <w:rFonts w:cstheme="minorHAnsi"/>
        </w:rPr>
      </w:pPr>
      <w:r>
        <w:rPr>
          <w:rFonts w:cstheme="minorHAnsi"/>
        </w:rPr>
        <w:t>Geldigheidsduur wordt teruggebracht van 6 naar 3 jaar.</w:t>
      </w:r>
    </w:p>
    <w:p w:rsidR="00366217" w:rsidRDefault="00FD1DB0">
      <w:pPr>
        <w:pStyle w:val="Lijstalinea"/>
        <w:numPr>
          <w:ilvl w:val="0"/>
          <w:numId w:val="3"/>
        </w:numPr>
        <w:suppressAutoHyphens w:val="0"/>
        <w:spacing w:beforeAutospacing="1" w:afterAutospacing="1" w:line="240" w:lineRule="auto"/>
        <w:jc w:val="both"/>
        <w:rPr>
          <w:rFonts w:ascii="Verdana" w:eastAsia="Times New Roman" w:hAnsi="Verdana" w:cs="Times New Roman"/>
          <w:sz w:val="20"/>
          <w:szCs w:val="20"/>
          <w:lang w:eastAsia="nl-BE"/>
        </w:rPr>
      </w:pPr>
      <w:r>
        <w:rPr>
          <w:rFonts w:cstheme="minorHAnsi"/>
        </w:rPr>
        <w:t>Vanaf 1 mei 2016 verbindend voor zowel alle douaneautoriteiten als de houder van de beschikking.</w:t>
      </w:r>
    </w:p>
    <w:p w:rsidR="00366217" w:rsidRDefault="00FD1DB0">
      <w:pPr>
        <w:pStyle w:val="Lijstalinea"/>
        <w:numPr>
          <w:ilvl w:val="0"/>
          <w:numId w:val="3"/>
        </w:numPr>
        <w:suppressAutoHyphens w:val="0"/>
        <w:spacing w:beforeAutospacing="1" w:afterAutospacing="1" w:line="240" w:lineRule="auto"/>
        <w:jc w:val="both"/>
        <w:rPr>
          <w:rFonts w:ascii="Verdana" w:eastAsia="Times New Roman" w:hAnsi="Verdana" w:cs="Times New Roman"/>
          <w:sz w:val="20"/>
          <w:szCs w:val="20"/>
          <w:lang w:eastAsia="nl-BE"/>
        </w:rPr>
      </w:pPr>
      <w:r>
        <w:rPr>
          <w:rFonts w:eastAsia="Times New Roman" w:cstheme="minorHAnsi"/>
          <w:i/>
          <w:iCs/>
          <w:sz w:val="24"/>
          <w:szCs w:val="24"/>
          <w:lang w:eastAsia="nl-BE"/>
        </w:rPr>
        <w:t xml:space="preserve">Na ontvangst van de aanvraag gaan de douaneautoriteiten na of aan alle verplichtingen voor aanvaarding is voldaan. Indien de aanvraag alle inlichtingen bevat voor het verlenen van de beschikking, stellen zij de aanvrager daarvan binnen de 30 dagen in kennis. . </w:t>
      </w:r>
    </w:p>
    <w:p w:rsidR="00366217" w:rsidRDefault="00FD1DB0">
      <w:pPr>
        <w:numPr>
          <w:ilvl w:val="0"/>
          <w:numId w:val="3"/>
        </w:numPr>
        <w:suppressAutoHyphens w:val="0"/>
        <w:spacing w:beforeAutospacing="1" w:afterAutospacing="1" w:line="240" w:lineRule="auto"/>
        <w:rPr>
          <w:rFonts w:ascii="Verdana" w:eastAsia="Times New Roman" w:hAnsi="Verdana" w:cs="Times New Roman"/>
          <w:sz w:val="20"/>
          <w:szCs w:val="20"/>
          <w:lang w:eastAsia="nl-BE"/>
        </w:rPr>
      </w:pPr>
      <w:r>
        <w:rPr>
          <w:rFonts w:eastAsia="Times New Roman" w:cstheme="minorHAnsi"/>
          <w:i/>
          <w:iCs/>
          <w:sz w:val="24"/>
          <w:szCs w:val="24"/>
          <w:lang w:eastAsia="nl-BE"/>
        </w:rPr>
        <w:t>De beschikking wordt verleend uiterlijk 120 dagen na aanvaarding van de aanvraag.</w:t>
      </w:r>
      <w:r>
        <w:rPr>
          <w:rFonts w:ascii="Verdana" w:eastAsia="Times New Roman" w:hAnsi="Verdana" w:cs="Times New Roman"/>
          <w:sz w:val="20"/>
          <w:szCs w:val="20"/>
          <w:lang w:eastAsia="nl-BE"/>
        </w:rPr>
        <w:t xml:space="preserve"> </w:t>
      </w:r>
    </w:p>
    <w:p w:rsidR="00366217" w:rsidRDefault="00FD1DB0">
      <w:pPr>
        <w:numPr>
          <w:ilvl w:val="0"/>
          <w:numId w:val="3"/>
        </w:numPr>
        <w:suppressAutoHyphens w:val="0"/>
        <w:spacing w:beforeAutospacing="1" w:afterAutospacing="1" w:line="240" w:lineRule="auto"/>
        <w:jc w:val="both"/>
        <w:rPr>
          <w:rFonts w:cstheme="minorHAnsi"/>
        </w:rPr>
      </w:pPr>
      <w:r>
        <w:rPr>
          <w:rFonts w:eastAsia="Times New Roman" w:cstheme="minorHAnsi"/>
          <w:i/>
          <w:iCs/>
          <w:sz w:val="24"/>
          <w:szCs w:val="24"/>
          <w:lang w:eastAsia="nl-BE"/>
        </w:rPr>
        <w:t>De houder van een BTI moet deze vermelden op de aangifte (via BTI-referentienummer).</w:t>
      </w:r>
    </w:p>
    <w:p w:rsidR="00366217" w:rsidRDefault="00FD1DB0">
      <w:pPr>
        <w:ind w:left="709"/>
        <w:jc w:val="both"/>
        <w:rPr>
          <w:rFonts w:cstheme="minorHAnsi"/>
          <w:b/>
          <w:bCs/>
          <w:i/>
          <w:color w:val="C0504D" w:themeColor="accent2"/>
          <w:u w:val="single"/>
        </w:rPr>
      </w:pPr>
      <w:r>
        <w:rPr>
          <w:rFonts w:cstheme="minorHAnsi"/>
          <w:b/>
          <w:bCs/>
          <w:i/>
          <w:color w:val="C0504D" w:themeColor="accent2"/>
          <w:u w:val="single"/>
        </w:rPr>
        <w:t>Overgangsmaatregelen</w:t>
      </w:r>
    </w:p>
    <w:p w:rsidR="00366217" w:rsidRDefault="00FD1DB0">
      <w:pPr>
        <w:pStyle w:val="Lijstalinea"/>
        <w:jc w:val="both"/>
        <w:rPr>
          <w:rFonts w:cstheme="minorHAnsi"/>
          <w:i/>
        </w:rPr>
      </w:pPr>
      <w:r>
        <w:rPr>
          <w:rFonts w:cstheme="minorHAnsi"/>
          <w:i/>
        </w:rPr>
        <w:t>Artikel 252 UCC DA: een BTI die van kracht is op 1 mei 2016 behoudt geldigheid tot einde vastgestelde termijn (administratieve overgangsmaatregel).</w:t>
      </w:r>
      <w:r>
        <w:rPr>
          <w:rFonts w:cs="Calibri"/>
          <w:i/>
        </w:rPr>
        <w:t xml:space="preserve"> Deze BTI is vanaf 1 mei 2016 verbindend voor zowel de douaneautoriteiten als de houder van de beschikking.</w:t>
      </w:r>
    </w:p>
    <w:p w:rsidR="00366217" w:rsidRDefault="00366217">
      <w:pPr>
        <w:pStyle w:val="Lijstalinea"/>
        <w:jc w:val="both"/>
        <w:rPr>
          <w:rFonts w:ascii="Calibri" w:eastAsia="Calibri" w:hAnsi="Calibri" w:cstheme="minorHAnsi"/>
          <w:i/>
        </w:rPr>
      </w:pPr>
    </w:p>
    <w:p w:rsidR="00366217" w:rsidRDefault="00FD1DB0">
      <w:pPr>
        <w:pStyle w:val="Lijstalinea"/>
        <w:jc w:val="both"/>
        <w:rPr>
          <w:rFonts w:ascii="Calibri" w:hAnsi="Calibri" w:cs="Calibri"/>
          <w:i/>
        </w:rPr>
      </w:pPr>
      <w:r>
        <w:rPr>
          <w:rFonts w:cstheme="minorHAnsi"/>
          <w:i/>
        </w:rPr>
        <w:t xml:space="preserve">UCC werkprogramma BTI Surveillance: dit project wordt opgesplitst in twee fases. </w:t>
      </w:r>
      <w:r>
        <w:rPr>
          <w:rStyle w:val="Nadruk"/>
          <w:rFonts w:cs="Calibri"/>
          <w:b/>
          <w:bCs/>
          <w:u w:val="single"/>
        </w:rPr>
        <w:t xml:space="preserve"> </w:t>
      </w:r>
      <w:r>
        <w:rPr>
          <w:rFonts w:cstheme="minorHAnsi"/>
          <w:i/>
        </w:rPr>
        <w:t xml:space="preserve">De eerste fase wordt nog eens opgesplitst in twee fasen. Fase 1, stap 1 is voorzien voor </w:t>
      </w:r>
      <w:r>
        <w:rPr>
          <w:rFonts w:cstheme="minorHAnsi"/>
          <w:b/>
          <w:bCs/>
          <w:i/>
          <w:u w:val="single"/>
        </w:rPr>
        <w:t>maart 2017</w:t>
      </w:r>
      <w:r>
        <w:rPr>
          <w:rFonts w:cstheme="minorHAnsi"/>
          <w:i/>
        </w:rPr>
        <w:t xml:space="preserve"> en fase 1, stap 2 voor </w:t>
      </w:r>
      <w:r>
        <w:rPr>
          <w:rFonts w:cstheme="minorHAnsi"/>
          <w:b/>
          <w:i/>
          <w:u w:val="single"/>
        </w:rPr>
        <w:t>oktober 2017.</w:t>
      </w:r>
      <w:r>
        <w:rPr>
          <w:rFonts w:cstheme="minorHAnsi"/>
          <w:i/>
        </w:rPr>
        <w:t xml:space="preserve">De tweede fase voor </w:t>
      </w:r>
      <w:r>
        <w:rPr>
          <w:rFonts w:cstheme="minorHAnsi"/>
          <w:b/>
          <w:bCs/>
          <w:i/>
          <w:u w:val="single"/>
        </w:rPr>
        <w:t>oktober 2018</w:t>
      </w:r>
      <w:r>
        <w:rPr>
          <w:rFonts w:cstheme="minorHAnsi"/>
          <w:i/>
        </w:rPr>
        <w:t xml:space="preserve">Tot aan opstart fase 1 monitoring van BTI’s te doen op basis van de artikelen 46 en 48 UCC en door middel van douanecontroles en post release controls. </w:t>
      </w:r>
      <w:r>
        <w:rPr>
          <w:rFonts w:cs="Calibri"/>
          <w:i/>
        </w:rPr>
        <w:t>Aangezien er nog een upgrade van het elektronische systeem inzake BTI's dient plaats te vinden, moeten er tot die upgrade papieren formulieren voor BTI-aanvragen en -beschikkingen worden gebruikt.</w:t>
      </w:r>
    </w:p>
    <w:p w:rsidR="00366217" w:rsidRDefault="00366217">
      <w:pPr>
        <w:pStyle w:val="Lijstalinea"/>
        <w:jc w:val="both"/>
        <w:rPr>
          <w:rFonts w:ascii="Calibri" w:eastAsia="Calibri" w:hAnsi="Calibri" w:cstheme="minorHAnsi"/>
          <w:i/>
        </w:rPr>
      </w:pPr>
    </w:p>
    <w:p w:rsidR="00366217" w:rsidRDefault="00FD1DB0">
      <w:pPr>
        <w:pStyle w:val="Lijstalinea"/>
        <w:jc w:val="both"/>
        <w:rPr>
          <w:rFonts w:cstheme="minorHAnsi"/>
          <w:i/>
        </w:rPr>
      </w:pPr>
      <w:r>
        <w:rPr>
          <w:rFonts w:cstheme="minorHAnsi"/>
          <w:i/>
        </w:rPr>
        <w:t>Formulieren voor aanvraag en beschikking te gebruiken zoals in bijlagen aan TDA.</w:t>
      </w:r>
    </w:p>
    <w:p w:rsidR="00366217" w:rsidRDefault="00FD1DB0">
      <w:pPr>
        <w:pStyle w:val="Titretrois"/>
        <w:numPr>
          <w:ilvl w:val="2"/>
          <w:numId w:val="1"/>
        </w:numPr>
        <w:jc w:val="both"/>
        <w:rPr>
          <w:rFonts w:cstheme="minorHAnsi"/>
          <w:sz w:val="22"/>
          <w:szCs w:val="22"/>
        </w:rPr>
      </w:pPr>
      <w:bookmarkStart w:id="12" w:name="_Toc438135700"/>
      <w:bookmarkEnd w:id="12"/>
      <w:r>
        <w:rPr>
          <w:rFonts w:cstheme="minorHAnsi"/>
          <w:sz w:val="22"/>
          <w:szCs w:val="22"/>
        </w:rPr>
        <w:t>Oorsprong</w:t>
      </w:r>
    </w:p>
    <w:p w:rsidR="00366217" w:rsidRDefault="00FD1DB0">
      <w:pPr>
        <w:ind w:left="709"/>
        <w:jc w:val="both"/>
        <w:rPr>
          <w:rFonts w:cstheme="minorHAnsi"/>
          <w:b/>
          <w:iCs/>
          <w:u w:val="single"/>
        </w:rPr>
      </w:pPr>
      <w:r>
        <w:rPr>
          <w:rFonts w:cstheme="minorHAnsi"/>
          <w:b/>
          <w:iCs/>
          <w:u w:val="single"/>
        </w:rPr>
        <w:t>Niet-preferentiële oorsprong</w:t>
      </w:r>
    </w:p>
    <w:p w:rsidR="00366217" w:rsidRDefault="00FD1DB0">
      <w:pPr>
        <w:pStyle w:val="Lijstalinea"/>
        <w:numPr>
          <w:ilvl w:val="0"/>
          <w:numId w:val="4"/>
        </w:numPr>
        <w:jc w:val="both"/>
        <w:rPr>
          <w:rFonts w:cstheme="minorHAnsi"/>
        </w:rPr>
      </w:pPr>
      <w:r>
        <w:rPr>
          <w:rFonts w:cstheme="minorHAnsi"/>
        </w:rPr>
        <w:t>Grotendeels bevoegdheid FOD Economie.</w:t>
      </w:r>
    </w:p>
    <w:p w:rsidR="00366217" w:rsidRDefault="00FD1DB0">
      <w:pPr>
        <w:pStyle w:val="Lijstalinea"/>
        <w:numPr>
          <w:ilvl w:val="0"/>
          <w:numId w:val="4"/>
        </w:numPr>
        <w:jc w:val="both"/>
        <w:rPr>
          <w:rFonts w:cstheme="minorHAnsi"/>
        </w:rPr>
      </w:pPr>
      <w:r>
        <w:rPr>
          <w:rFonts w:cstheme="minorHAnsi"/>
        </w:rPr>
        <w:t>In bijlage 22-01 (DA) werden regels opgenomen voor bepaalde goederen betreffende be- of verwerkingen die niet-preferentiële oorsprong verlenen (zie artikel 32 DA).</w:t>
      </w:r>
    </w:p>
    <w:p w:rsidR="00366217" w:rsidRDefault="00FD1DB0">
      <w:pPr>
        <w:pStyle w:val="Lijstalinea"/>
        <w:numPr>
          <w:ilvl w:val="0"/>
          <w:numId w:val="4"/>
        </w:numPr>
        <w:jc w:val="both"/>
        <w:rPr>
          <w:rFonts w:cstheme="minorHAnsi"/>
        </w:rPr>
      </w:pPr>
      <w:r>
        <w:rPr>
          <w:rFonts w:cstheme="minorHAnsi"/>
        </w:rPr>
        <w:t>Introductie van een “certificaat van oorsprong voor bepaalde producten waarvoor bijzondere niet-preferentiële invoerregelingen gelden” (bijlage 22-14 IA en artikel 57), in plaats van het certificaat in bijlage 13 van het CTW dat alleen voor bepaalde landbouwgoederen van toepassing -- was.</w:t>
      </w:r>
    </w:p>
    <w:p w:rsidR="00366217" w:rsidRDefault="00366217">
      <w:pPr>
        <w:pStyle w:val="Lijstalinea"/>
        <w:ind w:left="1429"/>
        <w:jc w:val="both"/>
        <w:rPr>
          <w:rFonts w:ascii="Calibri" w:eastAsia="Calibri" w:hAnsi="Calibri" w:cstheme="minorHAnsi"/>
        </w:rPr>
      </w:pPr>
    </w:p>
    <w:p w:rsidR="00366217" w:rsidRDefault="00FD1DB0">
      <w:pPr>
        <w:ind w:left="709"/>
        <w:jc w:val="both"/>
        <w:rPr>
          <w:rFonts w:cstheme="minorHAnsi"/>
          <w:color w:val="00B050"/>
        </w:rPr>
      </w:pPr>
      <w:r>
        <w:rPr>
          <w:rFonts w:cstheme="minorHAnsi"/>
          <w:b/>
          <w:iCs/>
          <w:u w:val="single"/>
        </w:rPr>
        <w:t>Preferentiële oorsprong</w:t>
      </w:r>
      <w:r>
        <w:rPr>
          <w:rFonts w:cstheme="minorHAnsi"/>
          <w:color w:val="00B050"/>
        </w:rPr>
        <w:t xml:space="preserve"> </w:t>
      </w:r>
    </w:p>
    <w:p w:rsidR="00366217" w:rsidRDefault="00FD1DB0">
      <w:pPr>
        <w:pStyle w:val="Lijstalinea"/>
        <w:numPr>
          <w:ilvl w:val="0"/>
          <w:numId w:val="5"/>
        </w:numPr>
        <w:jc w:val="both"/>
        <w:rPr>
          <w:rFonts w:cstheme="minorHAnsi"/>
        </w:rPr>
      </w:pPr>
      <w:r>
        <w:rPr>
          <w:rFonts w:cstheme="minorHAnsi"/>
        </w:rPr>
        <w:t>Artikel 62 (IA): Langlopende leveranciersverklaring (in plaats van “Leveranciersverklaring voor herhaald gebruik”): deze is maximaal 2 jaar geldig vanaf de datum waarop zij wordt opgesteld. Een langlopende leveranciersverklaring kan met terugwerkende kracht worden opgesteld voor goederen die waren geleverd voordat de verklaring werd opgesteld. Een dergelijke langlopende leveranciersverklaring kan worden opgesteld voor een geldigheidsduur van maximaal een jaar voorafgaand aan de datum waarop de verklaring werd opgesteld. De geldigheidsduur eindigt op de datum waarop de langlopende leveranciersverklaring werd opgesteld.</w:t>
      </w:r>
    </w:p>
    <w:p w:rsidR="00366217" w:rsidRDefault="00FD1DB0">
      <w:pPr>
        <w:pStyle w:val="Lijstalinea"/>
        <w:numPr>
          <w:ilvl w:val="0"/>
          <w:numId w:val="5"/>
        </w:numPr>
        <w:jc w:val="both"/>
        <w:rPr>
          <w:rFonts w:cstheme="minorHAnsi"/>
        </w:rPr>
      </w:pPr>
      <w:r>
        <w:rPr>
          <w:rFonts w:cstheme="minorHAnsi"/>
        </w:rPr>
        <w:t>Artikel 74 (IA): Procedure voor de afgifte van een certificaat van oorsprong, formulier A: vak 12: vermelding “Unie” (voorheen: “Europese Unie”) of de naam van een van de lidstaten.</w:t>
      </w:r>
    </w:p>
    <w:p w:rsidR="00366217" w:rsidRDefault="00FD1DB0">
      <w:pPr>
        <w:pStyle w:val="Lijstalinea"/>
        <w:numPr>
          <w:ilvl w:val="0"/>
          <w:numId w:val="5"/>
        </w:numPr>
        <w:jc w:val="both"/>
        <w:rPr>
          <w:rFonts w:cstheme="minorHAnsi"/>
        </w:rPr>
      </w:pPr>
      <w:r>
        <w:rPr>
          <w:rFonts w:cstheme="minorHAnsi"/>
        </w:rPr>
        <w:t>Kleine wijzigingen in de IA in de verwoording / lay-out van:</w:t>
      </w:r>
    </w:p>
    <w:p w:rsidR="00366217" w:rsidRDefault="00FD1DB0">
      <w:pPr>
        <w:pStyle w:val="Lijstalinea"/>
        <w:numPr>
          <w:ilvl w:val="1"/>
          <w:numId w:val="5"/>
        </w:numPr>
        <w:jc w:val="both"/>
        <w:rPr>
          <w:rFonts w:cstheme="minorHAnsi"/>
        </w:rPr>
      </w:pPr>
      <w:r>
        <w:rPr>
          <w:rFonts w:cstheme="minorHAnsi"/>
        </w:rPr>
        <w:t>Bijlage 22-15 Leveranciersverklaring voor producten van preferentiële oorsprong</w:t>
      </w:r>
    </w:p>
    <w:p w:rsidR="00366217" w:rsidRDefault="00FD1DB0">
      <w:pPr>
        <w:pStyle w:val="Lijstalinea"/>
        <w:numPr>
          <w:ilvl w:val="1"/>
          <w:numId w:val="5"/>
        </w:numPr>
        <w:jc w:val="both"/>
        <w:rPr>
          <w:rFonts w:cstheme="minorHAnsi"/>
        </w:rPr>
      </w:pPr>
      <w:r>
        <w:rPr>
          <w:rFonts w:cstheme="minorHAnsi"/>
        </w:rPr>
        <w:t>Bijlage 22-16 Verklaring voor herhaald gebruik voor producten van preferentiële oorsprong</w:t>
      </w:r>
    </w:p>
    <w:p w:rsidR="00366217" w:rsidRDefault="00FD1DB0">
      <w:pPr>
        <w:pStyle w:val="Lijstalinea"/>
        <w:numPr>
          <w:ilvl w:val="1"/>
          <w:numId w:val="5"/>
        </w:numPr>
        <w:jc w:val="both"/>
        <w:rPr>
          <w:rFonts w:cstheme="minorHAnsi"/>
        </w:rPr>
      </w:pPr>
      <w:r>
        <w:rPr>
          <w:rFonts w:cstheme="minorHAnsi"/>
        </w:rPr>
        <w:t>Bijlage 22-17 Leveranciersverklaring voor producten die niet van preferentiële oorsprong zijn</w:t>
      </w:r>
    </w:p>
    <w:p w:rsidR="00366217" w:rsidRDefault="00FD1DB0">
      <w:pPr>
        <w:pStyle w:val="Lijstalinea"/>
        <w:numPr>
          <w:ilvl w:val="1"/>
          <w:numId w:val="5"/>
        </w:numPr>
        <w:jc w:val="both"/>
        <w:rPr>
          <w:rFonts w:cstheme="minorHAnsi"/>
        </w:rPr>
      </w:pPr>
      <w:r>
        <w:rPr>
          <w:rFonts w:cstheme="minorHAnsi"/>
        </w:rPr>
        <w:t>Bijlage 22-18 Leveranciersverklaring voor herhaald gebruik voor producten die niet van preferentiële oorsprong zijn</w:t>
      </w:r>
    </w:p>
    <w:p w:rsidR="00366217" w:rsidRDefault="00FD1DB0">
      <w:pPr>
        <w:pStyle w:val="Lijstalinea"/>
        <w:numPr>
          <w:ilvl w:val="1"/>
          <w:numId w:val="5"/>
        </w:numPr>
        <w:jc w:val="both"/>
        <w:rPr>
          <w:rFonts w:cstheme="minorHAnsi"/>
        </w:rPr>
      </w:pPr>
      <w:r>
        <w:rPr>
          <w:rFonts w:cstheme="minorHAnsi"/>
        </w:rPr>
        <w:t>Bijlage 22-10 Certificaat inzake goederenverkeer EUR.1 en relevante toepassingen</w:t>
      </w:r>
    </w:p>
    <w:p w:rsidR="00366217" w:rsidRDefault="00FD1DB0">
      <w:pPr>
        <w:pStyle w:val="Lijstalinea"/>
        <w:numPr>
          <w:ilvl w:val="0"/>
          <w:numId w:val="5"/>
        </w:numPr>
        <w:rPr>
          <w:rFonts w:cstheme="minorHAnsi"/>
        </w:rPr>
      </w:pPr>
      <w:r>
        <w:rPr>
          <w:rFonts w:cstheme="minorHAnsi"/>
        </w:rPr>
        <w:t>Invoering van het geregistreerd exporteur (REX) systeem in het kader SAP (Stelsel van algemene preferenties). Door de invoering van dit nieuw elektronisch systeem zal het gebruik van de formulieren FORM. A en de oorsprongsverklaring komen te vervallen. Hiervoor komt dan een stelsel in de plaats waarbij de exporteur zich moet laten registreren bij de bevoegde autoriteiten in het begunstigde land of bij deze van een lidstaat. Hij krijgt dan de status van geregistreerde exporteur: hij mag zelf een verklaring omtrent de oorsprong van de goederen opstellen.</w:t>
      </w:r>
    </w:p>
    <w:p w:rsidR="00366217" w:rsidRDefault="00FD1DB0">
      <w:pPr>
        <w:ind w:left="709"/>
        <w:jc w:val="both"/>
        <w:rPr>
          <w:rFonts w:cstheme="minorHAnsi"/>
          <w:b/>
          <w:bCs/>
          <w:i/>
          <w:color w:val="C0504D" w:themeColor="accent2"/>
          <w:u w:val="single"/>
        </w:rPr>
      </w:pPr>
      <w:r>
        <w:rPr>
          <w:rFonts w:cstheme="minorHAnsi"/>
          <w:b/>
          <w:bCs/>
          <w:i/>
          <w:color w:val="C0504D" w:themeColor="accent2"/>
          <w:u w:val="single"/>
        </w:rPr>
        <w:t xml:space="preserve">Overgangsmaatregelen </w:t>
      </w:r>
    </w:p>
    <w:p w:rsidR="00366217" w:rsidRDefault="00FD1DB0">
      <w:pPr>
        <w:pStyle w:val="Lijstalinea"/>
        <w:jc w:val="both"/>
        <w:rPr>
          <w:rFonts w:cstheme="minorHAnsi"/>
          <w:i/>
        </w:rPr>
      </w:pPr>
      <w:r>
        <w:rPr>
          <w:rFonts w:cstheme="minorHAnsi"/>
          <w:i/>
        </w:rPr>
        <w:t xml:space="preserve">REX - systeem voorzien volgens UCC werkprogramma vanaf </w:t>
      </w:r>
      <w:r>
        <w:rPr>
          <w:rFonts w:cstheme="minorHAnsi"/>
          <w:b/>
          <w:bCs/>
          <w:i/>
          <w:u w:val="single"/>
        </w:rPr>
        <w:t>1 januari 2017</w:t>
      </w:r>
      <w:r>
        <w:rPr>
          <w:rFonts w:cstheme="minorHAnsi"/>
          <w:i/>
        </w:rPr>
        <w:t>. Geleidelijke overgang tussen 1 januari 2017 en 1 juli 2020.</w:t>
      </w:r>
    </w:p>
    <w:p w:rsidR="00366217" w:rsidRDefault="00366217">
      <w:pPr>
        <w:pStyle w:val="Lijstalinea"/>
        <w:jc w:val="both"/>
        <w:rPr>
          <w:rFonts w:ascii="Calibri" w:eastAsia="Calibri" w:hAnsi="Calibri" w:cstheme="minorHAnsi"/>
          <w:i/>
        </w:rPr>
      </w:pPr>
    </w:p>
    <w:p w:rsidR="00366217" w:rsidRDefault="00366217">
      <w:pPr>
        <w:pStyle w:val="Lijstalinea"/>
        <w:jc w:val="both"/>
        <w:rPr>
          <w:rFonts w:ascii="Calibri" w:eastAsia="Calibri" w:hAnsi="Calibri" w:cstheme="minorHAnsi"/>
          <w:i/>
        </w:rPr>
      </w:pPr>
    </w:p>
    <w:p w:rsidR="00366217" w:rsidRDefault="00FD1DB0">
      <w:pPr>
        <w:pStyle w:val="Lijstalinea"/>
        <w:jc w:val="both"/>
        <w:rPr>
          <w:rFonts w:cstheme="minorHAnsi"/>
          <w:i/>
          <w:color w:val="00B050"/>
        </w:rPr>
      </w:pPr>
      <w:r>
        <w:rPr>
          <w:rFonts w:cstheme="minorHAnsi"/>
          <w:i/>
        </w:rPr>
        <w:t>Hierdoor zijn de artikelen IA 70, 72, 78 t/m 80, 82 t/m 93, 99 t/m 107, 108, 109 en 112 voor de exporteurs in de Unie pas met ingang van 1/1/2017 van toepassing. De artikelen 71, 73 ,74 t/m 77, 94 t/m 98 en 110 t/m 112 zijn voor de exporteurs in de Unie tot en met 31 december 2017 van toepassing.</w:t>
      </w:r>
      <w:r>
        <w:rPr>
          <w:rFonts w:cstheme="minorHAnsi"/>
          <w:i/>
          <w:noProof/>
          <w:lang w:eastAsia="nl-BE"/>
        </w:rPr>
        <w:drawing>
          <wp:anchor distT="0" distB="0" distL="114300" distR="114300" simplePos="0" relativeHeight="2" behindDoc="0" locked="0" layoutInCell="1" allowOverlap="1">
            <wp:simplePos x="0" y="0"/>
            <wp:positionH relativeFrom="column">
              <wp:posOffset>451485</wp:posOffset>
            </wp:positionH>
            <wp:positionV relativeFrom="paragraph">
              <wp:posOffset>3810</wp:posOffset>
            </wp:positionV>
            <wp:extent cx="855980" cy="85598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855980" cy="855980"/>
                    </a:xfrm>
                    <a:prstGeom prst="rect">
                      <a:avLst/>
                    </a:prstGeom>
                    <a:noFill/>
                    <a:ln w="9525">
                      <a:noFill/>
                      <a:miter lim="800000"/>
                      <a:headEnd/>
                      <a:tailEnd/>
                    </a:ln>
                  </pic:spPr>
                </pic:pic>
              </a:graphicData>
            </a:graphic>
          </wp:anchor>
        </w:drawing>
      </w:r>
    </w:p>
    <w:p w:rsidR="00366217" w:rsidRDefault="00366217">
      <w:pPr>
        <w:pStyle w:val="Lijstalinea"/>
        <w:jc w:val="both"/>
        <w:rPr>
          <w:rFonts w:ascii="Calibri" w:eastAsia="Calibri" w:hAnsi="Calibri" w:cstheme="minorHAnsi"/>
        </w:rPr>
      </w:pPr>
    </w:p>
    <w:p w:rsidR="00366217" w:rsidRDefault="00FD1DB0">
      <w:pPr>
        <w:pStyle w:val="Titretrois"/>
        <w:numPr>
          <w:ilvl w:val="2"/>
          <w:numId w:val="1"/>
        </w:numPr>
        <w:jc w:val="both"/>
        <w:rPr>
          <w:rFonts w:cstheme="minorHAnsi"/>
          <w:sz w:val="22"/>
          <w:szCs w:val="22"/>
        </w:rPr>
      </w:pPr>
      <w:bookmarkStart w:id="13" w:name="_Toc438135701"/>
      <w:bookmarkEnd w:id="13"/>
      <w:r>
        <w:rPr>
          <w:rFonts w:cstheme="minorHAnsi"/>
          <w:sz w:val="22"/>
          <w:szCs w:val="22"/>
        </w:rPr>
        <w:t>Douanewaarde</w:t>
      </w:r>
    </w:p>
    <w:p w:rsidR="00366217" w:rsidRDefault="00FD1DB0">
      <w:pPr>
        <w:pStyle w:val="Lijstalinea"/>
        <w:numPr>
          <w:ilvl w:val="0"/>
          <w:numId w:val="6"/>
        </w:numPr>
        <w:jc w:val="both"/>
      </w:pPr>
      <w:r>
        <w:rPr>
          <w:rFonts w:cstheme="minorHAnsi"/>
        </w:rPr>
        <w:t>Geen verandering voor het bepalen van de douanewaarde behalve :</w:t>
      </w:r>
    </w:p>
    <w:p w:rsidR="00366217" w:rsidRDefault="00FD1DB0">
      <w:pPr>
        <w:pStyle w:val="Lijstalinea"/>
        <w:numPr>
          <w:ilvl w:val="0"/>
          <w:numId w:val="6"/>
        </w:numPr>
        <w:jc w:val="both"/>
        <w:rPr>
          <w:rFonts w:cstheme="minorHAnsi"/>
        </w:rPr>
      </w:pPr>
      <w:r>
        <w:rPr>
          <w:rFonts w:cstheme="minorHAnsi"/>
        </w:rPr>
        <w:t>In het geval van opeenvolgende verkopen, voordat de goederen  in het vrije verkeer worden gebracht,  is het volgens de UCC immers niet meer mogelijk om een verkoop die voorafgaat aan de laatste verkoop als gevolg waarvan de goederen het douanegebied van de Unie zijn binnengekomen te weerhouden. De transactiewaarde zal nu worden bepaald op basis van de verkoop die onmiddellijk voordat de goederen in het douanegebied zijn binnengebracht, heeft plaatsgevonden.</w:t>
      </w:r>
    </w:p>
    <w:p w:rsidR="00366217" w:rsidRDefault="00FD1DB0">
      <w:pPr>
        <w:pStyle w:val="Lijstalinea"/>
        <w:numPr>
          <w:ilvl w:val="0"/>
          <w:numId w:val="6"/>
        </w:numPr>
        <w:jc w:val="both"/>
        <w:rPr>
          <w:rFonts w:cstheme="minorHAnsi"/>
        </w:rPr>
      </w:pPr>
      <w:r>
        <w:rPr>
          <w:rFonts w:cstheme="minorHAnsi"/>
        </w:rPr>
        <w:t xml:space="preserve">Mogelijkheid om niet enkel voor de aanpassingen (zoals in artikel 156 bis van het CTW reeds werd voorzien) maar ook voor de betaalde of te betalen prijs een forfait  te maken. </w:t>
      </w:r>
    </w:p>
    <w:p w:rsidR="00366217" w:rsidRDefault="00FD1DB0">
      <w:pPr>
        <w:ind w:left="709"/>
        <w:jc w:val="both"/>
        <w:rPr>
          <w:rFonts w:cstheme="minorHAnsi"/>
          <w:b/>
          <w:bCs/>
          <w:i/>
          <w:color w:val="C0504D" w:themeColor="accent2"/>
          <w:u w:val="single"/>
        </w:rPr>
      </w:pPr>
      <w:r>
        <w:rPr>
          <w:rFonts w:cstheme="minorHAnsi"/>
          <w:b/>
          <w:bCs/>
          <w:i/>
          <w:color w:val="C0504D" w:themeColor="accent2"/>
          <w:u w:val="single"/>
        </w:rPr>
        <w:t>Overgangsmaatregelen</w:t>
      </w:r>
    </w:p>
    <w:p w:rsidR="00366217" w:rsidRDefault="00FD1DB0">
      <w:pPr>
        <w:pStyle w:val="Lijstalinea"/>
        <w:jc w:val="both"/>
        <w:rPr>
          <w:rFonts w:cstheme="minorHAnsi"/>
          <w:i/>
        </w:rPr>
      </w:pPr>
      <w:r>
        <w:rPr>
          <w:rFonts w:cstheme="minorHAnsi"/>
          <w:i/>
        </w:rPr>
        <w:t>Administratieve overgangsmaatregel terug te vinden in artikel 347 UCC IA. De huidige manier voor de bepaling van de transactiewaarde (mogelijks een verkoop die voorafgaat aan de laatste verkoop in het geval van opeenvolgende verkopen) kan onder bepaalde voorwaarden (namelijk een vóór 18/01/2016 gesloten contract) verder gebruikt worden tot en met 31 december 2017.</w:t>
      </w:r>
    </w:p>
    <w:p w:rsidR="00366217" w:rsidRDefault="00366217">
      <w:pPr>
        <w:pStyle w:val="Lijstalinea"/>
        <w:jc w:val="both"/>
        <w:rPr>
          <w:rFonts w:ascii="Calibri" w:eastAsia="Calibri" w:hAnsi="Calibri" w:cstheme="minorHAnsi"/>
          <w:i/>
        </w:rPr>
      </w:pPr>
    </w:p>
    <w:p w:rsidR="00366217" w:rsidRDefault="00FD1DB0">
      <w:pPr>
        <w:pStyle w:val="Lijstalinea"/>
        <w:jc w:val="both"/>
        <w:rPr>
          <w:rFonts w:cstheme="minorHAnsi"/>
        </w:rPr>
      </w:pPr>
      <w:r>
        <w:rPr>
          <w:rFonts w:cstheme="minorHAnsi"/>
          <w:i/>
        </w:rPr>
        <w:t>Bepaalde elementen met betrekking tot de douanewaarde moeten opgenomen worden in de douaneaangifte. Totdat de nationale invoersysteem zijn aangepast (volgens de laatste ontwerpversie UCC werkprogramma dient dit bepaald te worden door de lidstaten als onderdeel van hun nationaal plan) wordt hiervoor gebruik gemaakt van formulier DV1.</w:t>
      </w:r>
    </w:p>
    <w:p w:rsidR="00366217" w:rsidRDefault="00FD1DB0">
      <w:pPr>
        <w:pStyle w:val="Titretrois"/>
        <w:numPr>
          <w:ilvl w:val="2"/>
          <w:numId w:val="1"/>
        </w:numPr>
        <w:jc w:val="both"/>
        <w:rPr>
          <w:rFonts w:cstheme="minorHAnsi"/>
          <w:sz w:val="22"/>
          <w:szCs w:val="22"/>
        </w:rPr>
      </w:pPr>
      <w:bookmarkStart w:id="14" w:name="_Toc438135702"/>
      <w:r>
        <w:rPr>
          <w:rFonts w:cstheme="minorHAnsi"/>
          <w:sz w:val="22"/>
          <w:szCs w:val="22"/>
        </w:rPr>
        <w:t>Royalties en licentierechten :</w:t>
      </w:r>
      <w:bookmarkEnd w:id="14"/>
      <w:r>
        <w:rPr>
          <w:rFonts w:cstheme="minorHAnsi"/>
          <w:sz w:val="22"/>
          <w:szCs w:val="22"/>
        </w:rPr>
        <w:t xml:space="preserve"> </w:t>
      </w:r>
    </w:p>
    <w:p w:rsidR="00366217" w:rsidRDefault="00FD1DB0">
      <w:pPr>
        <w:pStyle w:val="Lijstalinea"/>
        <w:numPr>
          <w:ilvl w:val="1"/>
          <w:numId w:val="7"/>
        </w:numPr>
        <w:ind w:left="1429"/>
        <w:jc w:val="both"/>
        <w:rPr>
          <w:rFonts w:cstheme="minorHAnsi"/>
        </w:rPr>
      </w:pPr>
      <w:r>
        <w:rPr>
          <w:rFonts w:cstheme="minorHAnsi"/>
        </w:rPr>
        <w:t xml:space="preserve">Volgens de huidige Code is de royalty of het licentierecht evenwel slechts aan de werkelijk betaalde of te betalen prijs toe te voegen, indien de betaling ervan : </w:t>
      </w:r>
    </w:p>
    <w:p w:rsidR="00366217" w:rsidRDefault="00FD1DB0">
      <w:pPr>
        <w:pStyle w:val="Lijstalinea"/>
        <w:numPr>
          <w:ilvl w:val="2"/>
          <w:numId w:val="7"/>
        </w:numPr>
        <w:ind w:left="2268" w:hanging="283"/>
        <w:jc w:val="both"/>
        <w:rPr>
          <w:rFonts w:cstheme="minorHAnsi"/>
        </w:rPr>
      </w:pPr>
      <w:r>
        <w:rPr>
          <w:rFonts w:cstheme="minorHAnsi"/>
        </w:rPr>
        <w:t>op het goed waarvan de waarde wordt bepaald, betrekking heeft, en</w:t>
      </w:r>
    </w:p>
    <w:p w:rsidR="00366217" w:rsidRDefault="00FD1DB0">
      <w:pPr>
        <w:pStyle w:val="Lijstalinea"/>
        <w:numPr>
          <w:ilvl w:val="2"/>
          <w:numId w:val="7"/>
        </w:numPr>
        <w:ind w:left="2268" w:hanging="283"/>
        <w:jc w:val="both"/>
        <w:rPr>
          <w:rFonts w:cstheme="minorHAnsi"/>
        </w:rPr>
      </w:pPr>
      <w:r>
        <w:rPr>
          <w:rFonts w:cstheme="minorHAnsi"/>
        </w:rPr>
        <w:t xml:space="preserve"> voor dat goed een verkoopvoorwaarde vormt.</w:t>
      </w:r>
    </w:p>
    <w:p w:rsidR="00366217" w:rsidRDefault="00366217">
      <w:pPr>
        <w:pStyle w:val="Lijstalinea"/>
        <w:suppressAutoHyphens w:val="0"/>
        <w:spacing w:beforeAutospacing="1" w:afterAutospacing="1" w:line="240" w:lineRule="auto"/>
        <w:ind w:left="1152"/>
        <w:jc w:val="both"/>
        <w:rPr>
          <w:rFonts w:ascii="Times New Roman" w:eastAsia="Times New Roman" w:hAnsi="Times New Roman" w:cstheme="minorHAnsi"/>
          <w:sz w:val="24"/>
          <w:szCs w:val="24"/>
          <w:lang w:eastAsia="nl-BE"/>
        </w:rPr>
      </w:pPr>
    </w:p>
    <w:p w:rsidR="00366217" w:rsidRDefault="00FD1DB0">
      <w:pPr>
        <w:pStyle w:val="Lijstalinea"/>
        <w:suppressAutoHyphens w:val="0"/>
        <w:spacing w:beforeAutospacing="1" w:afterAutospacing="1" w:line="240" w:lineRule="auto"/>
        <w:ind w:left="1416"/>
        <w:jc w:val="both"/>
        <w:rPr>
          <w:rFonts w:eastAsia="Calibri" w:cs="Times New Roman"/>
          <w:lang w:eastAsia="nl-BE"/>
        </w:rPr>
      </w:pPr>
      <w:r>
        <w:rPr>
          <w:rFonts w:eastAsia="Times New Roman" w:cstheme="minorHAnsi"/>
          <w:lang w:eastAsia="nl-BE"/>
        </w:rPr>
        <w:t>De royalty betreffende het recht om van een fabrieks- of handelsmerk gebruik te maken wordt slechts aan de voor het ingevoerde goed werkelijk betaalde of te betalen prijs toegevoegd mits de drie volgende voorwaarden voldaan zijn:</w:t>
      </w:r>
      <w:r>
        <w:rPr>
          <w:rFonts w:eastAsia="Calibri" w:cs="Times New Roman"/>
          <w:lang w:eastAsia="nl-BE"/>
        </w:rPr>
        <w:t xml:space="preserve"> </w:t>
      </w:r>
    </w:p>
    <w:p w:rsidR="00366217" w:rsidRDefault="00FD1DB0">
      <w:pPr>
        <w:pStyle w:val="Lijstalinea"/>
        <w:numPr>
          <w:ilvl w:val="0"/>
          <w:numId w:val="42"/>
        </w:numPr>
        <w:suppressAutoHyphens w:val="0"/>
        <w:spacing w:beforeAutospacing="1" w:afterAutospacing="1" w:line="240" w:lineRule="auto"/>
        <w:ind w:left="2268" w:hanging="283"/>
        <w:jc w:val="both"/>
        <w:rPr>
          <w:rFonts w:eastAsia="Times New Roman" w:cstheme="minorHAnsi"/>
          <w:lang w:eastAsia="nl-BE"/>
        </w:rPr>
      </w:pPr>
      <w:r>
        <w:rPr>
          <w:rFonts w:eastAsia="Times New Roman" w:cstheme="minorHAnsi"/>
          <w:lang w:eastAsia="nl-BE"/>
        </w:rPr>
        <w:t>de royalty of het licentierecht betrekking heeft op goederen die in ongewijzigde staat zijn doorverkocht of die na invoer slechts een eenvoudige behandeling ondergaan;</w:t>
      </w:r>
      <w:r>
        <w:rPr>
          <w:rFonts w:eastAsia="Calibri" w:cs="Times New Roman"/>
          <w:lang w:eastAsia="nl-BE"/>
        </w:rPr>
        <w:t xml:space="preserve"> </w:t>
      </w:r>
    </w:p>
    <w:p w:rsidR="00366217" w:rsidRDefault="00FD1DB0">
      <w:pPr>
        <w:pStyle w:val="Lijstalinea"/>
        <w:numPr>
          <w:ilvl w:val="0"/>
          <w:numId w:val="42"/>
        </w:numPr>
        <w:suppressAutoHyphens w:val="0"/>
        <w:spacing w:beforeAutospacing="1" w:afterAutospacing="1" w:line="240" w:lineRule="auto"/>
        <w:ind w:left="2268" w:hanging="283"/>
        <w:jc w:val="both"/>
        <w:rPr>
          <w:rFonts w:eastAsia="Times New Roman" w:cstheme="minorHAnsi"/>
          <w:lang w:eastAsia="nl-BE"/>
        </w:rPr>
      </w:pPr>
      <w:r>
        <w:rPr>
          <w:rFonts w:eastAsia="Times New Roman" w:cstheme="minorHAnsi"/>
          <w:lang w:eastAsia="nl-BE"/>
        </w:rPr>
        <w:t>deze goederen onder de aangebrachte merknaam in de handel worden gebracht, en</w:t>
      </w:r>
    </w:p>
    <w:p w:rsidR="00366217" w:rsidRDefault="00FD1DB0">
      <w:pPr>
        <w:pStyle w:val="Lijstalinea"/>
        <w:numPr>
          <w:ilvl w:val="0"/>
          <w:numId w:val="42"/>
        </w:numPr>
        <w:suppressAutoHyphens w:val="0"/>
        <w:spacing w:beforeAutospacing="1" w:afterAutospacing="1" w:line="240" w:lineRule="auto"/>
        <w:ind w:left="2268" w:hanging="283"/>
        <w:jc w:val="both"/>
        <w:rPr>
          <w:rFonts w:eastAsia="Times New Roman" w:cstheme="minorHAnsi"/>
          <w:lang w:eastAsia="nl-BE"/>
        </w:rPr>
      </w:pPr>
      <w:r>
        <w:rPr>
          <w:rFonts w:eastAsia="Times New Roman" w:cstheme="minorHAnsi"/>
          <w:lang w:eastAsia="nl-BE"/>
        </w:rPr>
        <w:t>het de koper niet vrijstaat dergelijke goederen bij andere, niet met de verkoper verbonden leveranciers aan te kopen.</w:t>
      </w:r>
    </w:p>
    <w:p w:rsidR="00366217" w:rsidRDefault="00366217">
      <w:pPr>
        <w:pStyle w:val="Lijstalinea"/>
        <w:suppressAutoHyphens w:val="0"/>
        <w:spacing w:beforeAutospacing="1" w:afterAutospacing="1" w:line="240" w:lineRule="auto"/>
        <w:ind w:left="1152"/>
        <w:jc w:val="both"/>
        <w:rPr>
          <w:rFonts w:ascii="Calibri" w:eastAsia="Calibri" w:hAnsi="Calibri" w:cstheme="minorHAnsi"/>
          <w:b/>
          <w:bCs/>
        </w:rPr>
      </w:pPr>
    </w:p>
    <w:p w:rsidR="00366217" w:rsidRDefault="00FD1DB0">
      <w:pPr>
        <w:pStyle w:val="Lijstalinea"/>
        <w:numPr>
          <w:ilvl w:val="0"/>
          <w:numId w:val="43"/>
        </w:numPr>
        <w:suppressAutoHyphens w:val="0"/>
        <w:spacing w:beforeAutospacing="1" w:afterAutospacing="1" w:line="240" w:lineRule="auto"/>
        <w:ind w:left="1418" w:hanging="284"/>
        <w:jc w:val="both"/>
        <w:rPr>
          <w:rFonts w:cstheme="minorHAnsi"/>
        </w:rPr>
      </w:pPr>
      <w:r>
        <w:rPr>
          <w:rFonts w:cstheme="minorHAnsi"/>
          <w:b/>
          <w:bCs/>
        </w:rPr>
        <w:t>Onder de UCC</w:t>
      </w:r>
      <w:r>
        <w:rPr>
          <w:rFonts w:cstheme="minorHAnsi"/>
        </w:rPr>
        <w:t xml:space="preserve">  worden de verkoopsvoorwaarden voor royalty of licentierecht gepreciseerd : </w:t>
      </w:r>
    </w:p>
    <w:p w:rsidR="00366217" w:rsidRDefault="00FD1DB0">
      <w:pPr>
        <w:pStyle w:val="Lijstalinea"/>
        <w:numPr>
          <w:ilvl w:val="1"/>
          <w:numId w:val="43"/>
        </w:numPr>
        <w:suppressAutoHyphens w:val="0"/>
        <w:spacing w:beforeAutospacing="1" w:afterAutospacing="1" w:line="240" w:lineRule="auto"/>
        <w:ind w:left="2268" w:hanging="283"/>
        <w:jc w:val="both"/>
        <w:rPr>
          <w:rFonts w:cstheme="minorHAnsi"/>
        </w:rPr>
      </w:pPr>
      <w:r>
        <w:rPr>
          <w:rFonts w:cstheme="minorHAnsi"/>
        </w:rPr>
        <w:t>De verkoper of een met hem verbonden persoon verlangt de betaling van de koper, of</w:t>
      </w:r>
    </w:p>
    <w:p w:rsidR="00366217" w:rsidRDefault="00FD1DB0">
      <w:pPr>
        <w:pStyle w:val="Lijstalinea"/>
        <w:numPr>
          <w:ilvl w:val="1"/>
          <w:numId w:val="43"/>
        </w:numPr>
        <w:suppressAutoHyphens w:val="0"/>
        <w:spacing w:beforeAutospacing="1" w:afterAutospacing="1" w:line="240" w:lineRule="auto"/>
        <w:ind w:left="2268" w:hanging="283"/>
        <w:jc w:val="both"/>
        <w:rPr>
          <w:rFonts w:cstheme="minorHAnsi"/>
        </w:rPr>
      </w:pPr>
      <w:r>
        <w:rPr>
          <w:rFonts w:cstheme="minorHAnsi"/>
        </w:rPr>
        <w:t>de betaling  gebeurt op basis van contractuele verplichtingen, of Goederen kunnen niet worden verkocht aan of</w:t>
      </w:r>
    </w:p>
    <w:p w:rsidR="00366217" w:rsidRDefault="00FD1DB0">
      <w:pPr>
        <w:pStyle w:val="Lijstalinea"/>
        <w:numPr>
          <w:ilvl w:val="1"/>
          <w:numId w:val="43"/>
        </w:numPr>
        <w:suppressAutoHyphens w:val="0"/>
        <w:spacing w:beforeAutospacing="1" w:afterAutospacing="1" w:line="240" w:lineRule="auto"/>
        <w:ind w:left="2268" w:hanging="283"/>
        <w:jc w:val="both"/>
        <w:rPr>
          <w:rFonts w:cstheme="minorHAnsi"/>
        </w:rPr>
      </w:pPr>
      <w:r>
        <w:rPr>
          <w:rFonts w:cstheme="minorHAnsi"/>
        </w:rPr>
        <w:t>aangekocht door de koper zonder betaling van rolyalty’s of licentierechten aan een licentiegever.</w:t>
      </w:r>
    </w:p>
    <w:p w:rsidR="00366217" w:rsidRDefault="00FD1DB0">
      <w:pPr>
        <w:pStyle w:val="Lijstalinea"/>
        <w:numPr>
          <w:ilvl w:val="0"/>
          <w:numId w:val="43"/>
        </w:numPr>
        <w:spacing w:after="0" w:line="240" w:lineRule="auto"/>
        <w:ind w:left="1418" w:hanging="1058"/>
        <w:jc w:val="both"/>
        <w:rPr>
          <w:rFonts w:cstheme="minorHAnsi"/>
        </w:rPr>
      </w:pPr>
      <w:r>
        <w:rPr>
          <w:rFonts w:cstheme="minorHAnsi"/>
        </w:rPr>
        <w:t>Andere wijziging : de drie  cumulatieve voorwaarden betreffende de royalty of het licentierecht van het fabrieks- of handelsmerk zijn verdwenen ; dit betekent een vermeerdering van de mogelijke gevallen waarbij  de royalty of het licentierecht betreffende het recht om het fabrieks- of handelsmerk te gebruiken deel uitmaken van de douanewaarde.</w:t>
      </w:r>
    </w:p>
    <w:p w:rsidR="00366217" w:rsidRDefault="00366217">
      <w:pPr>
        <w:spacing w:after="0" w:line="240" w:lineRule="auto"/>
        <w:ind w:left="1418" w:hanging="1058"/>
        <w:jc w:val="both"/>
        <w:rPr>
          <w:rFonts w:ascii="Calibri" w:eastAsia="Calibri" w:hAnsi="Calibri" w:cstheme="minorHAnsi"/>
        </w:rPr>
      </w:pPr>
    </w:p>
    <w:p w:rsidR="00366217" w:rsidRDefault="00FD1DB0">
      <w:pPr>
        <w:pStyle w:val="Titredeux"/>
        <w:numPr>
          <w:ilvl w:val="1"/>
          <w:numId w:val="1"/>
        </w:numPr>
        <w:jc w:val="both"/>
        <w:rPr>
          <w:rFonts w:cstheme="minorHAnsi"/>
        </w:rPr>
      </w:pPr>
      <w:bookmarkStart w:id="15" w:name="_Toc438135703"/>
      <w:bookmarkEnd w:id="15"/>
      <w:r>
        <w:rPr>
          <w:rFonts w:cstheme="minorHAnsi"/>
        </w:rPr>
        <w:t>Titel III: Douaneschuld en zekerheidstelling.</w:t>
      </w:r>
    </w:p>
    <w:p w:rsidR="00366217" w:rsidRDefault="00FD1DB0">
      <w:pPr>
        <w:pStyle w:val="Titretrois"/>
        <w:numPr>
          <w:ilvl w:val="2"/>
          <w:numId w:val="1"/>
        </w:numPr>
        <w:jc w:val="both"/>
        <w:rPr>
          <w:rFonts w:cstheme="minorHAnsi"/>
          <w:sz w:val="22"/>
          <w:szCs w:val="22"/>
        </w:rPr>
      </w:pPr>
      <w:bookmarkStart w:id="16" w:name="_Toc438135704"/>
      <w:r>
        <w:rPr>
          <w:rFonts w:cstheme="minorHAnsi"/>
          <w:sz w:val="22"/>
          <w:szCs w:val="22"/>
        </w:rPr>
        <w:t>Zekerheidstelling</w:t>
      </w:r>
      <w:bookmarkEnd w:id="16"/>
      <w:r>
        <w:rPr>
          <w:rFonts w:cstheme="minorHAnsi"/>
          <w:sz w:val="22"/>
          <w:szCs w:val="22"/>
        </w:rPr>
        <w:t xml:space="preserve"> </w:t>
      </w:r>
    </w:p>
    <w:p w:rsidR="00366217" w:rsidRDefault="00FD1DB0">
      <w:pPr>
        <w:pStyle w:val="Lijstalinea"/>
        <w:numPr>
          <w:ilvl w:val="0"/>
          <w:numId w:val="8"/>
        </w:numPr>
        <w:jc w:val="both"/>
        <w:rPr>
          <w:rFonts w:cstheme="minorHAnsi"/>
        </w:rPr>
      </w:pPr>
      <w:r>
        <w:rPr>
          <w:rFonts w:cstheme="minorHAnsi"/>
        </w:rPr>
        <w:t xml:space="preserve">Onder de UCC wordt het gebruik van een 100 % zekerheidstelling verplicht voor </w:t>
      </w:r>
      <w:r>
        <w:rPr>
          <w:rFonts w:cstheme="minorHAnsi"/>
          <w:b/>
          <w:bCs/>
          <w:u w:val="single"/>
        </w:rPr>
        <w:t>alle</w:t>
      </w:r>
      <w:r>
        <w:rPr>
          <w:rFonts w:cstheme="minorHAnsi"/>
          <w:u w:val="single"/>
        </w:rPr>
        <w:t xml:space="preserve"> </w:t>
      </w:r>
      <w:r>
        <w:rPr>
          <w:rFonts w:cstheme="minorHAnsi"/>
        </w:rPr>
        <w:t>douaneregelingen en tijdelijke opslag.</w:t>
      </w:r>
    </w:p>
    <w:p w:rsidR="00366217" w:rsidRDefault="00FD1DB0">
      <w:pPr>
        <w:pStyle w:val="Lijstalinea"/>
        <w:numPr>
          <w:ilvl w:val="0"/>
          <w:numId w:val="8"/>
        </w:numPr>
        <w:jc w:val="both"/>
        <w:rPr>
          <w:rFonts w:cstheme="minorHAnsi"/>
        </w:rPr>
      </w:pPr>
      <w:r>
        <w:rPr>
          <w:rFonts w:cstheme="minorHAnsi"/>
        </w:rPr>
        <w:t xml:space="preserve">Er wordt een onderscheid gemaakt tussen de zekerheidstelling voor een mogelijke en/of een bestaande douaneschuld: zou eigenlijk nog verduidelijkt moeten worden in richtlijnen maar die zijn er op dit ogenblik nog niet. Vandaar de werkgroep. </w:t>
      </w:r>
    </w:p>
    <w:p w:rsidR="00366217" w:rsidRDefault="00FD1DB0">
      <w:pPr>
        <w:pStyle w:val="Lijstalinea"/>
        <w:numPr>
          <w:ilvl w:val="0"/>
          <w:numId w:val="8"/>
        </w:numPr>
        <w:jc w:val="both"/>
      </w:pPr>
      <w:r>
        <w:rPr>
          <w:rFonts w:cstheme="minorHAnsi"/>
        </w:rPr>
        <w:t>Een doorlopende zekerheid ter dekking van het met de douaneschuld overeenkomende bedrag aan invoer- of uitvoerrechten voor twee of meerdere transacties, aangiften of douaneregelingen is mogelijk (art. 89, lid 5 UCC).</w:t>
      </w:r>
    </w:p>
    <w:p w:rsidR="00366217" w:rsidRDefault="00FD1DB0">
      <w:pPr>
        <w:pStyle w:val="Lijstalinea"/>
        <w:numPr>
          <w:ilvl w:val="0"/>
          <w:numId w:val="8"/>
        </w:numPr>
        <w:jc w:val="both"/>
      </w:pPr>
      <w:r>
        <w:rPr>
          <w:rFonts w:cstheme="minorHAnsi"/>
        </w:rPr>
        <w:t>De zekerheid kan gelinkt zijn aan één lidstaat of meerdere lidstaten.</w:t>
      </w:r>
    </w:p>
    <w:p w:rsidR="00366217" w:rsidRDefault="00FD1DB0">
      <w:pPr>
        <w:pStyle w:val="Lijstalinea"/>
        <w:numPr>
          <w:ilvl w:val="0"/>
          <w:numId w:val="8"/>
        </w:numPr>
        <w:jc w:val="both"/>
        <w:rPr>
          <w:rFonts w:cstheme="minorHAnsi"/>
        </w:rPr>
      </w:pPr>
      <w:r>
        <w:rPr>
          <w:rFonts w:cstheme="minorHAnsi"/>
        </w:rPr>
        <w:t xml:space="preserve">Bij gebruikmaking van de doorlopende zekerheid kan een vermindering of ontheffing worden toegestaan onder bepaalde voorwaarden. Deze voorwaarden zijn terug te vinden in artikel 84 DA en dienen gelezen te worden in samenhang met artikel 95, leden 2 en 3 UCC. </w:t>
      </w:r>
    </w:p>
    <w:p w:rsidR="00366217" w:rsidRDefault="00FD1DB0">
      <w:pPr>
        <w:ind w:left="709"/>
        <w:jc w:val="both"/>
        <w:rPr>
          <w:rFonts w:cstheme="minorHAnsi"/>
          <w:b/>
          <w:bCs/>
          <w:i/>
          <w:color w:val="C0504D" w:themeColor="accent2"/>
          <w:u w:val="single"/>
        </w:rPr>
      </w:pPr>
      <w:r>
        <w:rPr>
          <w:rFonts w:cstheme="minorHAnsi"/>
          <w:b/>
          <w:bCs/>
          <w:i/>
          <w:color w:val="C0504D" w:themeColor="accent2"/>
          <w:u w:val="single"/>
        </w:rPr>
        <w:t>Overgangsmaatregelen</w:t>
      </w:r>
    </w:p>
    <w:p w:rsidR="00366217" w:rsidRDefault="00FD1DB0">
      <w:pPr>
        <w:pStyle w:val="Lijstalinea"/>
        <w:jc w:val="both"/>
        <w:rPr>
          <w:rFonts w:cstheme="minorHAnsi"/>
          <w:i/>
        </w:rPr>
      </w:pPr>
      <w:r>
        <w:rPr>
          <w:rFonts w:cstheme="minorHAnsi"/>
          <w:i/>
        </w:rPr>
        <w:t>Bestaande zekerheden voor mogelijke douaneschulden kunnen verder gebruikt worden tot aan de herbeoordeling. Deze herbeoordeling moet plaatsvinden voor 1 mei 2019.</w:t>
      </w:r>
    </w:p>
    <w:p w:rsidR="00366217" w:rsidRDefault="00366217">
      <w:pPr>
        <w:pStyle w:val="Lijstalinea"/>
        <w:jc w:val="both"/>
        <w:rPr>
          <w:rFonts w:ascii="Calibri" w:eastAsia="Calibri" w:hAnsi="Calibri" w:cstheme="minorHAnsi"/>
          <w:i/>
        </w:rPr>
      </w:pPr>
    </w:p>
    <w:p w:rsidR="00366217" w:rsidRDefault="00FD1DB0">
      <w:pPr>
        <w:pStyle w:val="Lijstalinea"/>
        <w:jc w:val="both"/>
        <w:rPr>
          <w:rFonts w:cstheme="minorHAnsi"/>
          <w:i/>
        </w:rPr>
      </w:pPr>
      <w:r>
        <w:rPr>
          <w:rFonts w:cstheme="minorHAnsi"/>
          <w:i/>
        </w:rPr>
        <w:t xml:space="preserve">Beschikkingen waarbij uitstel van betaling wordt verleend blijven geldig. </w:t>
      </w:r>
    </w:p>
    <w:p w:rsidR="00366217" w:rsidRDefault="00FD1DB0">
      <w:pPr>
        <w:pStyle w:val="Lijstalinea"/>
        <w:jc w:val="both"/>
        <w:rPr>
          <w:rFonts w:cstheme="minorHAnsi"/>
          <w:i/>
        </w:rPr>
      </w:pPr>
      <w:r>
        <w:rPr>
          <w:rFonts w:cstheme="minorHAnsi"/>
          <w:i/>
        </w:rPr>
        <w:t xml:space="preserve">a) Zonder beperking in tijd bij gebruik zoals vermeld in huidig art. 226, a) CDW ofwel </w:t>
      </w:r>
    </w:p>
    <w:p w:rsidR="00366217" w:rsidRDefault="00FD1DB0">
      <w:pPr>
        <w:pStyle w:val="Lijstalinea"/>
        <w:jc w:val="both"/>
        <w:rPr>
          <w:rFonts w:cstheme="minorHAnsi"/>
          <w:i/>
        </w:rPr>
      </w:pPr>
      <w:r>
        <w:rPr>
          <w:rFonts w:cstheme="minorHAnsi"/>
          <w:i/>
        </w:rPr>
        <w:t>b) Tot herbeoordeling van de daarmee samenhangende vergunning voor doorlopende zekerheidstelling bij gebruik zoals vermeld in huidig art. 226 b) of c) CDW.</w:t>
      </w:r>
    </w:p>
    <w:p w:rsidR="00366217" w:rsidRDefault="00366217">
      <w:pPr>
        <w:pStyle w:val="Lijstalinea"/>
        <w:ind w:left="142"/>
        <w:jc w:val="both"/>
        <w:rPr>
          <w:rFonts w:ascii="Calibri" w:eastAsia="Calibri" w:hAnsi="Calibri" w:cstheme="minorHAnsi"/>
          <w:i/>
        </w:rPr>
      </w:pPr>
    </w:p>
    <w:p w:rsidR="00366217" w:rsidRDefault="00FD1DB0">
      <w:pPr>
        <w:pStyle w:val="Lijstalinea"/>
        <w:jc w:val="both"/>
        <w:rPr>
          <w:rFonts w:cstheme="minorHAnsi"/>
          <w:i/>
        </w:rPr>
      </w:pPr>
      <w:r>
        <w:rPr>
          <w:rFonts w:cstheme="minorHAnsi"/>
          <w:i/>
        </w:rPr>
        <w:t xml:space="preserve">Volgens UCC werkprogramma: het UCC Guarantee Management (GUM) systeem zal bestaan uit twee componenten. Component 1 ( = trans Europees systeem) voorzien tegen </w:t>
      </w:r>
      <w:r>
        <w:rPr>
          <w:rFonts w:cstheme="minorHAnsi"/>
          <w:b/>
          <w:bCs/>
          <w:i/>
          <w:u w:val="single"/>
        </w:rPr>
        <w:t>oktober 2020</w:t>
      </w:r>
      <w:r>
        <w:rPr>
          <w:rFonts w:cstheme="minorHAnsi"/>
          <w:i/>
        </w:rPr>
        <w:t xml:space="preserve">. Voor component 2 ( aanpassing nationaal systeem) wordt de tijdsframe overgelaten aan de </w:t>
      </w:r>
      <w:r>
        <w:rPr>
          <w:rFonts w:cstheme="minorHAnsi"/>
          <w:b/>
          <w:i/>
          <w:u w:val="single"/>
        </w:rPr>
        <w:t>beoordeling van de lidstaten</w:t>
      </w:r>
      <w:r>
        <w:rPr>
          <w:rFonts w:cstheme="minorHAnsi"/>
          <w:i/>
        </w:rPr>
        <w:t xml:space="preserve"> op basis van hun nationaal plan.</w:t>
      </w:r>
    </w:p>
    <w:p w:rsidR="00366217" w:rsidRDefault="00366217">
      <w:pPr>
        <w:pStyle w:val="Lijstalinea"/>
        <w:jc w:val="both"/>
        <w:rPr>
          <w:rFonts w:ascii="Calibri" w:eastAsia="Calibri" w:hAnsi="Calibri" w:cstheme="minorHAnsi"/>
          <w:i/>
        </w:rPr>
      </w:pPr>
    </w:p>
    <w:p w:rsidR="00366217" w:rsidRDefault="00FD1DB0">
      <w:pPr>
        <w:pStyle w:val="Lijstalinea"/>
        <w:jc w:val="both"/>
        <w:rPr>
          <w:rFonts w:cstheme="minorHAnsi"/>
          <w:i/>
        </w:rPr>
      </w:pPr>
      <w:r>
        <w:rPr>
          <w:rFonts w:cstheme="minorHAnsi"/>
          <w:i/>
        </w:rPr>
        <w:t>Voor zekerheden die gebruikt worden in meer dan één lidstaat: opslag van informatie gedaan in elke betrokken lidstaat volgens bestaande nationale systemen EN uitwisseling van informatie tussen de douaneautoriteiten via mail. In de aanvraag tot gebruik van een doorlopende zekerheid moet vermeld worden hoe het referentiebedrag opgesplitst wordt onder de verschillende lidstaten.</w:t>
      </w:r>
    </w:p>
    <w:p w:rsidR="00366217" w:rsidRDefault="00FD1DB0">
      <w:pPr>
        <w:pStyle w:val="Titredeux"/>
        <w:numPr>
          <w:ilvl w:val="1"/>
          <w:numId w:val="1"/>
        </w:numPr>
        <w:ind w:left="284" w:firstLine="0"/>
        <w:jc w:val="both"/>
        <w:rPr>
          <w:rFonts w:cstheme="minorHAnsi"/>
        </w:rPr>
      </w:pPr>
      <w:r>
        <w:rPr>
          <w:rFonts w:cstheme="minorHAnsi"/>
        </w:rPr>
        <w:t xml:space="preserve"> </w:t>
      </w:r>
      <w:bookmarkStart w:id="17" w:name="_Toc438135705"/>
      <w:bookmarkEnd w:id="17"/>
      <w:r>
        <w:rPr>
          <w:rFonts w:cstheme="minorHAnsi"/>
        </w:rPr>
        <w:t>Titel IV: Het binnenbrengen van goederen in het douanegebied van de Unie.</w:t>
      </w:r>
    </w:p>
    <w:p w:rsidR="00366217" w:rsidRDefault="00FD1DB0">
      <w:pPr>
        <w:pStyle w:val="Titretrois"/>
        <w:numPr>
          <w:ilvl w:val="2"/>
          <w:numId w:val="1"/>
        </w:numPr>
        <w:jc w:val="both"/>
        <w:rPr>
          <w:rFonts w:cstheme="minorHAnsi"/>
          <w:b w:val="0"/>
          <w:bCs w:val="0"/>
          <w:sz w:val="22"/>
          <w:szCs w:val="22"/>
        </w:rPr>
      </w:pPr>
      <w:bookmarkStart w:id="18" w:name="_Toc438135706"/>
      <w:r>
        <w:rPr>
          <w:rStyle w:val="TitretroisCar"/>
          <w:rFonts w:cstheme="minorHAnsi"/>
          <w:b/>
          <w:bCs/>
          <w:sz w:val="22"/>
          <w:szCs w:val="22"/>
        </w:rPr>
        <w:t>Summiere aangifte tot binnenbrengen</w:t>
      </w:r>
      <w:bookmarkEnd w:id="18"/>
      <w:r>
        <w:rPr>
          <w:rFonts w:cstheme="minorHAnsi"/>
          <w:b w:val="0"/>
          <w:bCs w:val="0"/>
          <w:sz w:val="22"/>
          <w:szCs w:val="22"/>
        </w:rPr>
        <w:t>.</w:t>
      </w:r>
    </w:p>
    <w:p w:rsidR="00366217" w:rsidRDefault="00FD1DB0">
      <w:pPr>
        <w:pStyle w:val="Lijstalinea"/>
        <w:numPr>
          <w:ilvl w:val="0"/>
          <w:numId w:val="37"/>
        </w:numPr>
        <w:ind w:left="1418" w:hanging="425"/>
        <w:jc w:val="both"/>
      </w:pPr>
      <w:r>
        <w:rPr>
          <w:rFonts w:cstheme="minorHAnsi"/>
        </w:rPr>
        <w:t xml:space="preserve">Binnen UCC wordt het nieuwe principe van </w:t>
      </w:r>
      <w:r>
        <w:rPr>
          <w:rFonts w:cstheme="minorHAnsi"/>
          <w:i/>
        </w:rPr>
        <w:t>multiple filing</w:t>
      </w:r>
      <w:r>
        <w:rPr>
          <w:rFonts w:cstheme="minorHAnsi"/>
        </w:rPr>
        <w:t xml:space="preserve"> gecreëerd. Dit is terug te vinden in artikel 127, lid 6 UCC waar gezegd wordt dat de benodigde gegevens van de summiere aangifte kunnen aangeleverd worden door de vervoerder MAAR in specifieke gevallen ook door andere personen.</w:t>
      </w:r>
    </w:p>
    <w:p w:rsidR="00366217" w:rsidRDefault="00FD1DB0">
      <w:pPr>
        <w:pStyle w:val="Lijstalinea"/>
        <w:numPr>
          <w:ilvl w:val="0"/>
          <w:numId w:val="9"/>
        </w:numPr>
        <w:ind w:left="720" w:hanging="447"/>
        <w:jc w:val="both"/>
      </w:pPr>
      <w:r>
        <w:rPr>
          <w:rFonts w:cstheme="minorHAnsi"/>
        </w:rPr>
        <w:t>Verdere bepalingen vindt men terug in de artikelen 112 UCC DA (zee) en 113 UCC DA (lucht).</w:t>
      </w:r>
    </w:p>
    <w:p w:rsidR="00366217" w:rsidRDefault="00FD1DB0">
      <w:pPr>
        <w:pStyle w:val="Lijstalinea"/>
        <w:numPr>
          <w:ilvl w:val="0"/>
          <w:numId w:val="37"/>
        </w:numPr>
        <w:ind w:left="1418" w:hanging="425"/>
        <w:jc w:val="both"/>
        <w:rPr>
          <w:rFonts w:cstheme="minorHAnsi"/>
        </w:rPr>
      </w:pPr>
      <w:r>
        <w:rPr>
          <w:rFonts w:cstheme="minorHAnsi"/>
        </w:rPr>
        <w:t>Elke persoon is verantwoordelijk voor de door hem aangeleverde gegevens.</w:t>
      </w:r>
    </w:p>
    <w:p w:rsidR="00366217" w:rsidRDefault="00FD1DB0">
      <w:pPr>
        <w:ind w:left="709"/>
        <w:jc w:val="both"/>
        <w:rPr>
          <w:rFonts w:cstheme="minorHAnsi"/>
          <w:b/>
          <w:bCs/>
          <w:i/>
          <w:color w:val="C0504D" w:themeColor="accent2"/>
          <w:u w:val="single"/>
        </w:rPr>
      </w:pPr>
      <w:r>
        <w:rPr>
          <w:rFonts w:cstheme="minorHAnsi"/>
          <w:b/>
          <w:bCs/>
          <w:i/>
          <w:color w:val="C0504D" w:themeColor="accent2"/>
          <w:u w:val="single"/>
        </w:rPr>
        <w:t>Overgangsmaatregelen</w:t>
      </w:r>
    </w:p>
    <w:p w:rsidR="00366217" w:rsidRDefault="00FD1DB0">
      <w:pPr>
        <w:pStyle w:val="Lijstalinea"/>
        <w:jc w:val="both"/>
        <w:rPr>
          <w:rFonts w:cstheme="minorHAnsi"/>
          <w:i/>
        </w:rPr>
      </w:pPr>
      <w:r>
        <w:rPr>
          <w:rFonts w:cstheme="minorHAnsi"/>
          <w:i/>
        </w:rPr>
        <w:t>Tot aan update ICS systeem huidige systemen en werkwijzen verder te gebruiken. Tot deze upgrade van het systeem is het ook niet mogelijk om een summiere aangifte in te dienen met meer dan één dataset. De bepalingen omtrent multiple filing worden tijdelijk opgeschort tijdens overgang. Datasets en formulieren te gebruiken zoals opgenomen in bijlagen aan TDA. Dus gewoon verderzetting huidige werkwijze.</w:t>
      </w:r>
    </w:p>
    <w:p w:rsidR="00366217" w:rsidRDefault="00FD1DB0">
      <w:pPr>
        <w:pStyle w:val="Titretrois"/>
        <w:numPr>
          <w:ilvl w:val="2"/>
          <w:numId w:val="1"/>
        </w:numPr>
        <w:jc w:val="both"/>
        <w:rPr>
          <w:rFonts w:cstheme="minorHAnsi"/>
          <w:sz w:val="22"/>
          <w:szCs w:val="22"/>
        </w:rPr>
      </w:pPr>
      <w:bookmarkStart w:id="19" w:name="_Toc438135707"/>
      <w:bookmarkEnd w:id="19"/>
      <w:r>
        <w:rPr>
          <w:rFonts w:cstheme="minorHAnsi"/>
          <w:sz w:val="22"/>
          <w:szCs w:val="22"/>
        </w:rPr>
        <w:t>Tijdelijke opslag</w:t>
      </w:r>
    </w:p>
    <w:p w:rsidR="00366217" w:rsidRDefault="00FD1DB0">
      <w:pPr>
        <w:pStyle w:val="Lijstalinea"/>
        <w:numPr>
          <w:ilvl w:val="0"/>
          <w:numId w:val="10"/>
        </w:numPr>
        <w:jc w:val="both"/>
        <w:rPr>
          <w:rFonts w:cstheme="minorHAnsi"/>
        </w:rPr>
      </w:pPr>
      <w:r>
        <w:rPr>
          <w:rFonts w:cstheme="minorHAnsi"/>
        </w:rPr>
        <w:t>Tijdelijke opslag blijft geen douaneregeling (zelfde situatie als in het CDW). De aangifte tot tijdelijke opslag is dan ook geen douaneaangifte maar wel een handeling waarbij men kenbaar maakt dat men goederen onder tijdelijke opslag plaatst.</w:t>
      </w:r>
    </w:p>
    <w:p w:rsidR="00366217" w:rsidRDefault="00FD1DB0">
      <w:pPr>
        <w:pStyle w:val="Lijstalinea"/>
        <w:numPr>
          <w:ilvl w:val="0"/>
          <w:numId w:val="10"/>
        </w:numPr>
        <w:jc w:val="both"/>
        <w:rPr>
          <w:rFonts w:cstheme="minorHAnsi"/>
        </w:rPr>
      </w:pPr>
      <w:r>
        <w:rPr>
          <w:rFonts w:cstheme="minorHAnsi"/>
        </w:rPr>
        <w:t>De termijn bedraagt 90 dagen ongeacht vervoerswijze (nu 20 of 45 dagen)</w:t>
      </w:r>
      <w:r>
        <w:rPr>
          <w:rFonts w:cstheme="minorHAnsi"/>
          <w:shd w:val="clear" w:color="auto" w:fill="FFFF00"/>
        </w:rPr>
        <w:t xml:space="preserve"> </w:t>
      </w:r>
    </w:p>
    <w:p w:rsidR="00366217" w:rsidRDefault="00FD1DB0">
      <w:pPr>
        <w:pStyle w:val="Lijstalinea"/>
        <w:numPr>
          <w:ilvl w:val="0"/>
          <w:numId w:val="10"/>
        </w:numPr>
        <w:jc w:val="both"/>
        <w:rPr>
          <w:rFonts w:cstheme="minorHAnsi"/>
        </w:rPr>
      </w:pPr>
      <w:r>
        <w:rPr>
          <w:rFonts w:cstheme="minorHAnsi"/>
        </w:rPr>
        <w:t>De overbrenging van goederen binnen tijdelijke opslag wordt mogelijk gemaakt. In</w:t>
      </w:r>
      <w:r>
        <w:rPr>
          <w:rFonts w:cstheme="minorHAnsi"/>
          <w:shd w:val="clear" w:color="auto" w:fill="FFFF00"/>
        </w:rPr>
        <w:t xml:space="preserve"> </w:t>
      </w:r>
      <w:r>
        <w:rPr>
          <w:rFonts w:cstheme="minorHAnsi"/>
        </w:rPr>
        <w:t>de huidige bepalingen was dit alleen voorzien voor de economische douaneregelingen, met name douane-entrepot, actieve en passieve veredelingen, BOD en tijdelijke invoer.</w:t>
      </w:r>
    </w:p>
    <w:p w:rsidR="00366217" w:rsidRDefault="00FD1DB0">
      <w:pPr>
        <w:pStyle w:val="Lijstalinea"/>
        <w:numPr>
          <w:ilvl w:val="0"/>
          <w:numId w:val="10"/>
        </w:numPr>
        <w:jc w:val="both"/>
        <w:rPr>
          <w:rFonts w:cstheme="minorHAnsi"/>
        </w:rPr>
      </w:pPr>
      <w:r>
        <w:rPr>
          <w:rFonts w:cstheme="minorHAnsi"/>
        </w:rPr>
        <w:t>Er zijn verschillende wijzen van overbrenging binnen tijdelijke opslag :</w:t>
      </w:r>
    </w:p>
    <w:p w:rsidR="00366217" w:rsidRDefault="00FD1DB0">
      <w:pPr>
        <w:pStyle w:val="Lijstalinea"/>
        <w:numPr>
          <w:ilvl w:val="0"/>
          <w:numId w:val="11"/>
        </w:numPr>
        <w:jc w:val="both"/>
        <w:rPr>
          <w:rFonts w:cstheme="minorHAnsi"/>
        </w:rPr>
      </w:pPr>
      <w:r>
        <w:rPr>
          <w:rFonts w:cstheme="minorHAnsi"/>
        </w:rPr>
        <w:t>Overbrenging binnen 1 lidstaat en onder verantwoordelijkheid van 1 douaneautoriteit (geen specifieke voorwaarden voorzien onder UCC);</w:t>
      </w:r>
    </w:p>
    <w:p w:rsidR="00366217" w:rsidRDefault="00FD1DB0">
      <w:pPr>
        <w:pStyle w:val="Lijstalinea"/>
        <w:numPr>
          <w:ilvl w:val="0"/>
          <w:numId w:val="11"/>
        </w:numPr>
        <w:jc w:val="both"/>
        <w:rPr>
          <w:rFonts w:cstheme="minorHAnsi"/>
        </w:rPr>
      </w:pPr>
      <w:r>
        <w:rPr>
          <w:rFonts w:cstheme="minorHAnsi"/>
        </w:rPr>
        <w:t>Overbrenging tussen lidstaten onder dekking van één vergunninghouder afgegeven aan AEOC;</w:t>
      </w:r>
    </w:p>
    <w:p w:rsidR="00366217" w:rsidRDefault="00FD1DB0">
      <w:pPr>
        <w:pStyle w:val="Lijstalinea"/>
        <w:numPr>
          <w:ilvl w:val="0"/>
          <w:numId w:val="11"/>
        </w:numPr>
        <w:jc w:val="both"/>
        <w:rPr>
          <w:rFonts w:cstheme="minorHAnsi"/>
        </w:rPr>
      </w:pPr>
      <w:r>
        <w:rPr>
          <w:rFonts w:cstheme="minorHAnsi"/>
        </w:rPr>
        <w:t>Andere gevallen, overbrenging tussen lidstaten waarvoor verschillende vergunningen zijn afgegeven. Houders van deze vergunningen moeten AEOC zijn.</w:t>
      </w:r>
    </w:p>
    <w:p w:rsidR="00366217" w:rsidRDefault="00FD1DB0">
      <w:pPr>
        <w:pStyle w:val="Lijstalinea"/>
        <w:numPr>
          <w:ilvl w:val="0"/>
          <w:numId w:val="12"/>
        </w:numPr>
        <w:ind w:left="1418"/>
        <w:jc w:val="both"/>
        <w:rPr>
          <w:rFonts w:cstheme="minorHAnsi"/>
        </w:rPr>
      </w:pPr>
      <w:r>
        <w:rPr>
          <w:rFonts w:cstheme="minorHAnsi"/>
        </w:rPr>
        <w:t>Verplichting van het gebruik van een zekerheid.</w:t>
      </w:r>
    </w:p>
    <w:p w:rsidR="00366217" w:rsidRDefault="00FD1DB0">
      <w:pPr>
        <w:pStyle w:val="Lijstalinea"/>
        <w:numPr>
          <w:ilvl w:val="0"/>
          <w:numId w:val="12"/>
        </w:numPr>
        <w:ind w:left="1418"/>
        <w:jc w:val="both"/>
        <w:rPr>
          <w:rFonts w:cstheme="minorHAnsi"/>
        </w:rPr>
      </w:pPr>
      <w:r>
        <w:rPr>
          <w:rFonts w:cstheme="minorHAnsi"/>
        </w:rPr>
        <w:t>De opslagruimten voor tijdelijke opslag moeten worden goedgekeurd door de douaneautoriteiten. In uitzonderlijke omstandigheden presentatie en/of opslag in andere plaatsen dan tijdelijke opslagruimten.</w:t>
      </w:r>
    </w:p>
    <w:p w:rsidR="00366217" w:rsidRDefault="00FD1DB0">
      <w:pPr>
        <w:ind w:left="709"/>
        <w:jc w:val="both"/>
        <w:rPr>
          <w:rFonts w:cstheme="minorHAnsi"/>
          <w:b/>
          <w:bCs/>
          <w:i/>
          <w:color w:val="C0504D" w:themeColor="accent2"/>
          <w:u w:val="single"/>
        </w:rPr>
      </w:pPr>
      <w:r>
        <w:rPr>
          <w:rFonts w:cstheme="minorHAnsi"/>
          <w:b/>
          <w:bCs/>
          <w:i/>
          <w:color w:val="C0504D" w:themeColor="accent2"/>
          <w:u w:val="single"/>
        </w:rPr>
        <w:t>Overgangsmaatregelen</w:t>
      </w:r>
    </w:p>
    <w:p w:rsidR="00366217" w:rsidRDefault="00FD1DB0">
      <w:pPr>
        <w:pStyle w:val="Lijstalinea"/>
        <w:jc w:val="both"/>
        <w:rPr>
          <w:rFonts w:cstheme="minorHAnsi"/>
          <w:i/>
        </w:rPr>
      </w:pPr>
      <w:r>
        <w:rPr>
          <w:rFonts w:cstheme="minorHAnsi"/>
          <w:i/>
        </w:rPr>
        <w:t xml:space="preserve">Voor huidige vergunning tijdelijke opslag ontstaat er geen verplichting om een zekerheid te gebruiken vanaf 1 mei 2016 maar wel vanaf de herbeoordeling onder UCC. </w:t>
      </w:r>
    </w:p>
    <w:p w:rsidR="00366217" w:rsidRDefault="00FD1DB0">
      <w:pPr>
        <w:pStyle w:val="Lijstalinea"/>
        <w:jc w:val="both"/>
        <w:rPr>
          <w:rFonts w:cstheme="minorHAnsi"/>
          <w:i/>
        </w:rPr>
      </w:pPr>
      <w:r>
        <w:rPr>
          <w:rFonts w:cstheme="minorHAnsi"/>
          <w:i/>
        </w:rPr>
        <w:t>Deze herbeoordelingen moeten gebeuren tegen 1 mei 2019.</w:t>
      </w:r>
    </w:p>
    <w:p w:rsidR="00366217" w:rsidRDefault="00366217">
      <w:pPr>
        <w:pStyle w:val="Lijstalinea"/>
        <w:jc w:val="both"/>
        <w:rPr>
          <w:rFonts w:ascii="Calibri" w:eastAsia="Calibri" w:hAnsi="Calibri" w:cstheme="minorHAnsi"/>
          <w:i/>
        </w:rPr>
      </w:pPr>
    </w:p>
    <w:p w:rsidR="00366217" w:rsidRDefault="00FD1DB0">
      <w:pPr>
        <w:pStyle w:val="Lijstalinea"/>
        <w:jc w:val="both"/>
        <w:rPr>
          <w:rFonts w:cstheme="minorHAnsi"/>
          <w:u w:val="single"/>
        </w:rPr>
      </w:pPr>
      <w:r>
        <w:rPr>
          <w:rFonts w:cstheme="minorHAnsi"/>
          <w:i/>
        </w:rPr>
        <w:t xml:space="preserve">UCC werkprogramma: systeem met betrekking tot kennisgeving van aankomst, aanbrengen van goederen en tijdelijke opslag. Volgens de laatste ontwerpversie van het UCC werkprogramma wordt de tijdsframe overgelaten aan de beoordeling van de lidstaten als onderdeel van hun nationaal plan. </w:t>
      </w:r>
    </w:p>
    <w:p w:rsidR="00366217" w:rsidRDefault="00366217">
      <w:pPr>
        <w:pStyle w:val="Lijstalinea"/>
        <w:jc w:val="both"/>
        <w:rPr>
          <w:rFonts w:ascii="Calibri" w:eastAsia="Calibri" w:hAnsi="Calibri" w:cstheme="minorHAnsi"/>
          <w:u w:val="single"/>
        </w:rPr>
      </w:pPr>
    </w:p>
    <w:p w:rsidR="00366217" w:rsidRDefault="00FD1DB0">
      <w:pPr>
        <w:pStyle w:val="Lijstalinea"/>
        <w:jc w:val="both"/>
        <w:rPr>
          <w:rFonts w:cstheme="minorHAnsi"/>
        </w:rPr>
      </w:pPr>
      <w:r>
        <w:rPr>
          <w:rFonts w:cstheme="minorHAnsi"/>
        </w:rPr>
        <w:t>Wat tijdelijke opslag betreft, geldt het volgende vanaf 1 mei 2016:</w:t>
      </w:r>
    </w:p>
    <w:p w:rsidR="00366217" w:rsidRDefault="00366217">
      <w:pPr>
        <w:pStyle w:val="Lijstalinea"/>
        <w:jc w:val="both"/>
        <w:rPr>
          <w:rFonts w:ascii="Calibri" w:eastAsia="Calibri" w:hAnsi="Calibri" w:cstheme="minorHAnsi"/>
        </w:rPr>
      </w:pPr>
    </w:p>
    <w:p w:rsidR="00366217" w:rsidRDefault="00FD1DB0">
      <w:pPr>
        <w:pStyle w:val="Lijstalinea"/>
        <w:jc w:val="both"/>
        <w:rPr>
          <w:rFonts w:cstheme="minorHAnsi"/>
        </w:rPr>
      </w:pPr>
      <w:r>
        <w:rPr>
          <w:rFonts w:cstheme="minorHAnsi"/>
        </w:rPr>
        <w:t>- alle goederen die zich op 1 mei 2016 reeds onder tijdelijke opslag bevinden, krijgen een nieuwe opslagtermijn van 90 dagen;</w:t>
      </w:r>
    </w:p>
    <w:p w:rsidR="00366217" w:rsidRDefault="00FD1DB0">
      <w:pPr>
        <w:pStyle w:val="Lijstalinea"/>
        <w:jc w:val="both"/>
        <w:rPr>
          <w:rFonts w:cstheme="minorHAnsi"/>
        </w:rPr>
      </w:pPr>
      <w:r>
        <w:rPr>
          <w:rFonts w:cstheme="minorHAnsi"/>
        </w:rPr>
        <w:t>- alle goederen die op (of na) 1 mei 2016 onder tijdelijke opslag geplaatst worden, hebben recht op een opslagtermijn van 90 dagen;</w:t>
      </w:r>
    </w:p>
    <w:p w:rsidR="00366217" w:rsidRDefault="00FD1DB0">
      <w:pPr>
        <w:pStyle w:val="Lijstalinea"/>
        <w:jc w:val="both"/>
        <w:rPr>
          <w:rFonts w:cstheme="minorHAnsi"/>
        </w:rPr>
      </w:pPr>
      <w:r>
        <w:rPr>
          <w:rFonts w:cstheme="minorHAnsi"/>
        </w:rPr>
        <w:t>- overbrenging tussen verschillende ruimten voor tijdelijke opslag is mogelijk vanaf 1 mei 2016 (de overbrenging zal geen nieuwe opslagtermijn doen starten!);</w:t>
      </w:r>
    </w:p>
    <w:p w:rsidR="00366217" w:rsidRDefault="00FD1DB0">
      <w:pPr>
        <w:pStyle w:val="Lijstalinea"/>
        <w:jc w:val="both"/>
        <w:rPr>
          <w:rFonts w:cstheme="minorHAnsi"/>
        </w:rPr>
      </w:pPr>
      <w:r>
        <w:rPr>
          <w:rFonts w:cstheme="minorHAnsi"/>
        </w:rPr>
        <w:t>- zekerheidstelling is verplicht vanaf 1 mei 2016 voor nieuwe vergunningen (voor de reeds vóór 1 mei 2016 bestaande vergunningen is dit niet verplicht).</w:t>
      </w:r>
    </w:p>
    <w:p w:rsidR="00366217" w:rsidRDefault="00366217">
      <w:pPr>
        <w:pStyle w:val="Lijstalinea"/>
        <w:jc w:val="both"/>
        <w:rPr>
          <w:rFonts w:ascii="Calibri" w:eastAsia="Calibri" w:hAnsi="Calibri" w:cstheme="minorHAnsi"/>
        </w:rPr>
      </w:pPr>
    </w:p>
    <w:p w:rsidR="00366217" w:rsidRDefault="00FD1DB0">
      <w:pPr>
        <w:pStyle w:val="Lijstalinea"/>
        <w:jc w:val="both"/>
        <w:rPr>
          <w:rFonts w:cstheme="minorHAnsi"/>
        </w:rPr>
      </w:pPr>
      <w:r>
        <w:rPr>
          <w:rFonts w:cstheme="minorHAnsi"/>
        </w:rPr>
        <w:t>Vanaf 1 mei 2016 dient inzake de identificatie van onder de bijlage A opgenomen vergunningen het volgende verplicht vermeld worden op een douaneaangifte:</w:t>
      </w:r>
    </w:p>
    <w:p w:rsidR="00366217" w:rsidRDefault="00366217">
      <w:pPr>
        <w:pStyle w:val="Lijstalinea"/>
        <w:jc w:val="both"/>
        <w:rPr>
          <w:rFonts w:ascii="Calibri" w:eastAsia="Calibri" w:hAnsi="Calibri" w:cstheme="minorHAnsi"/>
        </w:rPr>
      </w:pPr>
    </w:p>
    <w:p w:rsidR="00366217" w:rsidRDefault="00FD1DB0">
      <w:pPr>
        <w:pStyle w:val="Lijstalinea"/>
        <w:jc w:val="both"/>
        <w:rPr>
          <w:rFonts w:cstheme="minorHAnsi"/>
        </w:rPr>
      </w:pPr>
      <w:r>
        <w:rPr>
          <w:rFonts w:cstheme="minorHAnsi"/>
          <w:lang w:val="nl-NL"/>
        </w:rPr>
        <w:t>(a)           de identificatie van de aanvrager/houder van de vergunning (gegevenselement 3/2 Identificatie aanvrager/houder van de vergunning of beschikking of, wanneer er geen geldig EORI-nummer van de aanvrager voorhanden is, gegevenselement 3/1 Aanvrager/houder van de vergunning of beschikking);</w:t>
      </w:r>
    </w:p>
    <w:p w:rsidR="00366217" w:rsidRDefault="00FD1DB0">
      <w:pPr>
        <w:pStyle w:val="Lijstalinea"/>
        <w:jc w:val="both"/>
        <w:rPr>
          <w:rFonts w:cstheme="minorHAnsi"/>
        </w:rPr>
      </w:pPr>
      <w:r>
        <w:rPr>
          <w:rFonts w:cstheme="minorHAnsi"/>
          <w:lang w:val="nl-NL"/>
        </w:rPr>
        <w:t>(b)         het soort aanvraag of vergunning (gegevenselement 1/1 Code soort aanvraag/beschikking) (zie daartoe bijgevoegd document</w:t>
      </w:r>
      <w:r>
        <w:rPr>
          <w:rStyle w:val="Ancredenotedebasdepage"/>
          <w:rFonts w:cstheme="minorHAnsi"/>
          <w:lang w:val="nl-NL"/>
        </w:rPr>
        <w:footnoteReference w:id="5"/>
      </w:r>
      <w:r>
        <w:rPr>
          <w:rFonts w:cstheme="minorHAnsi"/>
          <w:lang w:val="nl-NL"/>
        </w:rPr>
        <w:t>);</w:t>
      </w:r>
    </w:p>
    <w:p w:rsidR="00366217" w:rsidRDefault="00FD1DB0">
      <w:pPr>
        <w:pStyle w:val="Lijstalinea"/>
        <w:jc w:val="both"/>
        <w:rPr>
          <w:rFonts w:cstheme="minorHAnsi"/>
          <w:lang w:val="nl-NL"/>
        </w:rPr>
      </w:pPr>
      <w:r>
        <w:rPr>
          <w:rFonts w:cstheme="minorHAnsi"/>
          <w:lang w:val="nl-NL"/>
        </w:rPr>
        <w:t>(c)           het gebruik van de vergunning in één of meer lidstaten (gegevenselement 1/4 Geografische geldigheid — Unie), indien van toepassing.</w:t>
      </w:r>
    </w:p>
    <w:p w:rsidR="00366217" w:rsidRDefault="00366217">
      <w:pPr>
        <w:pStyle w:val="Lijstalinea"/>
        <w:jc w:val="both"/>
        <w:rPr>
          <w:rFonts w:ascii="Calibri" w:eastAsia="Calibri" w:hAnsi="Calibri" w:cstheme="minorHAnsi"/>
        </w:rPr>
      </w:pPr>
    </w:p>
    <w:p w:rsidR="00366217" w:rsidRDefault="00FD1DB0">
      <w:pPr>
        <w:pStyle w:val="Titredeux"/>
        <w:numPr>
          <w:ilvl w:val="1"/>
          <w:numId w:val="1"/>
        </w:numPr>
        <w:jc w:val="both"/>
        <w:rPr>
          <w:rFonts w:cstheme="minorHAnsi"/>
        </w:rPr>
      </w:pPr>
      <w:bookmarkStart w:id="20" w:name="_Toc438135708"/>
      <w:bookmarkEnd w:id="20"/>
      <w:r>
        <w:rPr>
          <w:rFonts w:cstheme="minorHAnsi"/>
        </w:rPr>
        <w:t>Titel V: Algemene voorschriften betreffende douanestatus, plaatsing van de goederen onder een douaneregeling, verificatie, vrijgave en verwijdering van goederen.</w:t>
      </w:r>
    </w:p>
    <w:p w:rsidR="00366217" w:rsidRDefault="00FD1DB0">
      <w:pPr>
        <w:pStyle w:val="Titretrois"/>
        <w:numPr>
          <w:ilvl w:val="2"/>
          <w:numId w:val="1"/>
        </w:numPr>
        <w:jc w:val="both"/>
        <w:rPr>
          <w:rFonts w:cstheme="minorHAnsi"/>
          <w:sz w:val="22"/>
          <w:szCs w:val="22"/>
        </w:rPr>
      </w:pPr>
      <w:bookmarkStart w:id="21" w:name="_Toc438135709"/>
      <w:bookmarkEnd w:id="21"/>
      <w:r>
        <w:rPr>
          <w:rFonts w:cstheme="minorHAnsi"/>
          <w:sz w:val="22"/>
          <w:szCs w:val="22"/>
        </w:rPr>
        <w:t>Douanestatus</w:t>
      </w:r>
    </w:p>
    <w:p w:rsidR="00366217" w:rsidRDefault="00FD1DB0">
      <w:pPr>
        <w:pStyle w:val="Lijstalinea"/>
        <w:numPr>
          <w:ilvl w:val="0"/>
          <w:numId w:val="12"/>
        </w:numPr>
        <w:ind w:left="1134"/>
        <w:jc w:val="both"/>
        <w:rPr>
          <w:rFonts w:cstheme="minorHAnsi"/>
        </w:rPr>
      </w:pPr>
      <w:r>
        <w:rPr>
          <w:rFonts w:cstheme="minorHAnsi"/>
        </w:rPr>
        <w:t>Marktdeelnemers kunnen toegelaten worden om zelf bewijs van douanestatus af te leveren (vergunning toegelaten afgever). Voor T2L/T2LF zonder beperking in waarde, voor douanemanifest tot 15.000 euro.</w:t>
      </w:r>
    </w:p>
    <w:p w:rsidR="00366217" w:rsidRDefault="00FD1DB0">
      <w:pPr>
        <w:pStyle w:val="Lijstalinea"/>
        <w:numPr>
          <w:ilvl w:val="0"/>
          <w:numId w:val="12"/>
        </w:numPr>
        <w:ind w:left="1134"/>
        <w:jc w:val="both"/>
        <w:rPr>
          <w:rFonts w:cstheme="minorHAnsi"/>
        </w:rPr>
      </w:pPr>
      <w:r>
        <w:rPr>
          <w:rFonts w:cstheme="minorHAnsi"/>
        </w:rPr>
        <w:t>T2L/T2LF/douanemanifest = zonder visering douane.</w:t>
      </w:r>
    </w:p>
    <w:p w:rsidR="00366217" w:rsidRDefault="00FD1DB0">
      <w:pPr>
        <w:pStyle w:val="Lijstalinea"/>
        <w:numPr>
          <w:ilvl w:val="0"/>
          <w:numId w:val="12"/>
        </w:numPr>
        <w:suppressAutoHyphens w:val="0"/>
        <w:spacing w:after="0"/>
        <w:ind w:left="1134"/>
        <w:jc w:val="both"/>
        <w:rPr>
          <w:rFonts w:cstheme="minorHAnsi"/>
        </w:rPr>
      </w:pPr>
      <w:r>
        <w:rPr>
          <w:rFonts w:cstheme="minorHAnsi"/>
        </w:rPr>
        <w:t>Het bewijs moet elektronisch afgeleverd worden en blijft geldig voor 90 dagen vanaf de registratie.</w:t>
      </w:r>
    </w:p>
    <w:p w:rsidR="00366217" w:rsidRDefault="00FD1DB0">
      <w:pPr>
        <w:pStyle w:val="Lijstalinea"/>
        <w:numPr>
          <w:ilvl w:val="0"/>
          <w:numId w:val="12"/>
        </w:numPr>
        <w:ind w:left="1134"/>
        <w:jc w:val="both"/>
        <w:rPr>
          <w:rFonts w:cstheme="minorHAnsi"/>
        </w:rPr>
      </w:pPr>
      <w:r>
        <w:rPr>
          <w:rFonts w:cstheme="minorHAnsi"/>
        </w:rPr>
        <w:t>Voldoen aan sommige AEO criteria om vergunning toegelaten afgever te krijgen.</w:t>
      </w:r>
    </w:p>
    <w:p w:rsidR="00366217" w:rsidRDefault="00FD1DB0">
      <w:pPr>
        <w:pStyle w:val="Lijstalinea"/>
        <w:numPr>
          <w:ilvl w:val="0"/>
          <w:numId w:val="12"/>
        </w:numPr>
        <w:ind w:left="1134"/>
        <w:jc w:val="both"/>
        <w:rPr>
          <w:rFonts w:cstheme="minorHAnsi"/>
        </w:rPr>
      </w:pPr>
      <w:r>
        <w:rPr>
          <w:rFonts w:cstheme="minorHAnsi"/>
        </w:rPr>
        <w:t>Bij bewijs van douanestatus d.m.v. een factuur. Waarde opgetrokken/verhoogd tot een maximumbedrag van 15.000 euro.</w:t>
      </w:r>
    </w:p>
    <w:p w:rsidR="00366217" w:rsidRDefault="00FD1DB0">
      <w:pPr>
        <w:pStyle w:val="Lijstalinea"/>
        <w:numPr>
          <w:ilvl w:val="0"/>
          <w:numId w:val="12"/>
        </w:numPr>
        <w:ind w:left="1134"/>
        <w:jc w:val="both"/>
        <w:rPr>
          <w:rFonts w:cstheme="minorHAnsi"/>
        </w:rPr>
      </w:pPr>
      <w:r>
        <w:rPr>
          <w:rFonts w:cstheme="minorHAnsi"/>
        </w:rPr>
        <w:t>Raadplegingsprocedure voor lijndiensten = 15 dagen.</w:t>
      </w:r>
    </w:p>
    <w:p w:rsidR="00366217" w:rsidRDefault="00FD1DB0">
      <w:pPr>
        <w:ind w:left="709"/>
        <w:jc w:val="both"/>
        <w:rPr>
          <w:rFonts w:cstheme="minorHAnsi"/>
          <w:b/>
          <w:bCs/>
          <w:i/>
          <w:color w:val="C0504D" w:themeColor="accent2"/>
          <w:u w:val="single"/>
        </w:rPr>
      </w:pPr>
      <w:r>
        <w:rPr>
          <w:rFonts w:cstheme="minorHAnsi"/>
          <w:b/>
          <w:bCs/>
          <w:i/>
          <w:color w:val="C0504D" w:themeColor="accent2"/>
          <w:u w:val="single"/>
        </w:rPr>
        <w:t>Overgangsmaatregelen</w:t>
      </w:r>
    </w:p>
    <w:p w:rsidR="00366217" w:rsidRDefault="00FD1DB0">
      <w:pPr>
        <w:pStyle w:val="Lijstalinea"/>
        <w:jc w:val="both"/>
        <w:rPr>
          <w:rFonts w:cstheme="minorHAnsi"/>
          <w:i/>
        </w:rPr>
      </w:pPr>
      <w:r>
        <w:rPr>
          <w:rFonts w:cstheme="minorHAnsi"/>
          <w:i/>
        </w:rPr>
        <w:t xml:space="preserve">UCC werkprogramma: UCC Proof of Union Status (PoUS) uitrol project voorzien </w:t>
      </w:r>
      <w:r>
        <w:rPr>
          <w:rFonts w:cstheme="minorHAnsi"/>
          <w:b/>
          <w:bCs/>
          <w:i/>
          <w:u w:val="single"/>
        </w:rPr>
        <w:t>tussen maart 2019 en oktober 2019</w:t>
      </w:r>
      <w:r>
        <w:rPr>
          <w:rFonts w:cstheme="minorHAnsi"/>
          <w:i/>
        </w:rPr>
        <w:t>. Het project beoogt de oprichting van een nieuw EU systeem om het bewijs van Uniestatus op te slaan. De bedoeling is om het papieren formulier T2L te vervangen door een elektronische variant. Na de introductie van PoUS systeem moeten T2L/T2LF elektronisch  ingediend worden met gebruikmaking van dit systeem. Het douanemanifest en bewijs door middel van een factuur kan enkel gebruikt worden voor goederen met waarde onder 15.000 euro.</w:t>
      </w:r>
    </w:p>
    <w:p w:rsidR="00366217" w:rsidRDefault="00FD1DB0">
      <w:pPr>
        <w:pStyle w:val="Titretrois"/>
        <w:numPr>
          <w:ilvl w:val="2"/>
          <w:numId w:val="1"/>
        </w:numPr>
      </w:pPr>
      <w:bookmarkStart w:id="22" w:name="_Toc438135710"/>
      <w:bookmarkEnd w:id="22"/>
      <w:r>
        <w:t>Vereenvoudigde procedures</w:t>
      </w:r>
    </w:p>
    <w:p w:rsidR="00366217" w:rsidRDefault="00FD1DB0">
      <w:pPr>
        <w:pStyle w:val="Lijstalinea"/>
        <w:numPr>
          <w:ilvl w:val="0"/>
          <w:numId w:val="34"/>
        </w:numPr>
        <w:jc w:val="both"/>
        <w:rPr>
          <w:rFonts w:cstheme="minorHAnsi"/>
          <w:b/>
          <w:bCs/>
          <w:u w:val="single"/>
        </w:rPr>
      </w:pPr>
      <w:r>
        <w:rPr>
          <w:rFonts w:cstheme="minorHAnsi"/>
          <w:b/>
          <w:bCs/>
          <w:u w:val="single"/>
        </w:rPr>
        <w:t>Vereenvoudigde douaneaangifte.</w:t>
      </w:r>
    </w:p>
    <w:p w:rsidR="00366217" w:rsidRDefault="00FD1DB0">
      <w:pPr>
        <w:pStyle w:val="Lijstalinea"/>
        <w:numPr>
          <w:ilvl w:val="1"/>
          <w:numId w:val="29"/>
        </w:numPr>
        <w:jc w:val="both"/>
        <w:rPr>
          <w:rFonts w:cstheme="minorHAnsi"/>
        </w:rPr>
      </w:pPr>
      <w:r>
        <w:rPr>
          <w:rFonts w:cstheme="minorHAnsi"/>
        </w:rPr>
        <w:t>Dit wil zeggen het indienen van een douaneaangifte ofwel zonder opgave van bepaalde data elementen ofwel zonder staving van bepaalde bewijsstukken.</w:t>
      </w:r>
    </w:p>
    <w:p w:rsidR="00366217" w:rsidRDefault="00FD1DB0">
      <w:pPr>
        <w:pStyle w:val="Lijstalinea"/>
        <w:numPr>
          <w:ilvl w:val="1"/>
          <w:numId w:val="29"/>
        </w:numPr>
        <w:jc w:val="both"/>
        <w:rPr>
          <w:rFonts w:cstheme="minorHAnsi"/>
        </w:rPr>
      </w:pPr>
      <w:r>
        <w:rPr>
          <w:rFonts w:cstheme="minorHAnsi"/>
        </w:rPr>
        <w:t>Bij regelmatig gebruik heeft men een vergunning nodig. Men moet daarvoor voldoen aan een aantal AEO criteria.</w:t>
      </w:r>
    </w:p>
    <w:p w:rsidR="00366217" w:rsidRDefault="00FD1DB0">
      <w:pPr>
        <w:pStyle w:val="Lijstalinea"/>
        <w:numPr>
          <w:ilvl w:val="1"/>
          <w:numId w:val="29"/>
        </w:numPr>
        <w:jc w:val="both"/>
        <w:rPr>
          <w:rFonts w:cstheme="minorHAnsi"/>
        </w:rPr>
      </w:pPr>
      <w:r>
        <w:rPr>
          <w:rFonts w:cstheme="minorHAnsi"/>
        </w:rPr>
        <w:t>Aanvullende aangifte moet gedaan worden binnen een bepaalde tijdslimiet:</w:t>
      </w:r>
    </w:p>
    <w:p w:rsidR="00366217" w:rsidRDefault="00FD1DB0">
      <w:pPr>
        <w:pStyle w:val="Lijstalinea"/>
        <w:numPr>
          <w:ilvl w:val="2"/>
          <w:numId w:val="29"/>
        </w:numPr>
        <w:jc w:val="both"/>
        <w:rPr>
          <w:rFonts w:cstheme="minorHAnsi"/>
        </w:rPr>
      </w:pPr>
      <w:r>
        <w:rPr>
          <w:rFonts w:cstheme="minorHAnsi"/>
        </w:rPr>
        <w:t>10 dagen na vrijgave goederen OF</w:t>
      </w:r>
    </w:p>
    <w:p w:rsidR="00366217" w:rsidRDefault="00FD1DB0">
      <w:pPr>
        <w:pStyle w:val="Lijstalinea"/>
        <w:numPr>
          <w:ilvl w:val="2"/>
          <w:numId w:val="29"/>
        </w:numPr>
        <w:jc w:val="both"/>
        <w:rPr>
          <w:rFonts w:cstheme="minorHAnsi"/>
        </w:rPr>
      </w:pPr>
      <w:r>
        <w:rPr>
          <w:rFonts w:cstheme="minorHAnsi"/>
        </w:rPr>
        <w:t>10 dagen na einde tijdvak waarop de aanvullende aangifte betrekking heeft.</w:t>
      </w:r>
    </w:p>
    <w:p w:rsidR="00366217" w:rsidRDefault="00FD1DB0">
      <w:pPr>
        <w:pStyle w:val="Lijstalinea"/>
        <w:numPr>
          <w:ilvl w:val="1"/>
          <w:numId w:val="29"/>
        </w:numPr>
        <w:jc w:val="both"/>
        <w:rPr>
          <w:rFonts w:cstheme="minorHAnsi"/>
        </w:rPr>
      </w:pPr>
      <w:r>
        <w:rPr>
          <w:rFonts w:cstheme="minorHAnsi"/>
        </w:rPr>
        <w:t>Bewijsstukken moeten aangeleverd binnen termijn voor de indiening van de aanvullende aangifte. Langere termijn kan toegestaan worden maar mag niet meer zijn dan 120 dagen te rekenen vanaf de vrijgave van de goederen.</w:t>
      </w:r>
    </w:p>
    <w:p w:rsidR="00366217" w:rsidRDefault="00366217">
      <w:pPr>
        <w:pStyle w:val="Lijstalinea"/>
        <w:ind w:left="2160"/>
        <w:jc w:val="both"/>
        <w:rPr>
          <w:rFonts w:ascii="Calibri" w:eastAsia="Calibri" w:hAnsi="Calibri" w:cstheme="minorHAnsi"/>
        </w:rPr>
      </w:pPr>
    </w:p>
    <w:p w:rsidR="00366217" w:rsidRDefault="00366217">
      <w:pPr>
        <w:pStyle w:val="Lijstalinea"/>
        <w:ind w:left="2160"/>
        <w:jc w:val="both"/>
        <w:rPr>
          <w:rFonts w:ascii="Calibri" w:eastAsia="Calibri" w:hAnsi="Calibri" w:cstheme="minorHAnsi"/>
        </w:rPr>
      </w:pPr>
    </w:p>
    <w:p w:rsidR="00366217" w:rsidRDefault="00366217">
      <w:pPr>
        <w:pStyle w:val="Lijstalinea"/>
        <w:ind w:left="2160"/>
        <w:jc w:val="both"/>
        <w:rPr>
          <w:rFonts w:ascii="Calibri" w:eastAsia="Calibri" w:hAnsi="Calibri" w:cstheme="minorHAnsi"/>
        </w:rPr>
      </w:pPr>
    </w:p>
    <w:p w:rsidR="00366217" w:rsidRDefault="00FD1DB0">
      <w:pPr>
        <w:pStyle w:val="Lijstalinea"/>
        <w:numPr>
          <w:ilvl w:val="0"/>
          <w:numId w:val="34"/>
        </w:numPr>
        <w:ind w:left="1134"/>
        <w:jc w:val="both"/>
        <w:rPr>
          <w:rFonts w:cstheme="minorHAnsi"/>
          <w:b/>
          <w:bCs/>
          <w:u w:val="single"/>
        </w:rPr>
      </w:pPr>
      <w:r>
        <w:rPr>
          <w:rFonts w:cstheme="minorHAnsi"/>
          <w:b/>
          <w:bCs/>
          <w:u w:val="single"/>
        </w:rPr>
        <w:t>Gecentraliseerde vrijmaking (CC).</w:t>
      </w:r>
    </w:p>
    <w:p w:rsidR="00366217" w:rsidRDefault="00FD1DB0">
      <w:pPr>
        <w:ind w:left="709"/>
        <w:jc w:val="both"/>
        <w:rPr>
          <w:rFonts w:cstheme="minorHAnsi"/>
        </w:rPr>
      </w:pPr>
      <w:r>
        <w:rPr>
          <w:rFonts w:cstheme="minorHAnsi"/>
        </w:rPr>
        <w:t>Gecentraliseerde vrijmaking = het indienen van een douaneaangifte bij het douanekantoor van de plaats waar de aangever gevestigd is terwijl de goederen fysiek worden aangeboden bij een ander douanekantoor.</w:t>
      </w:r>
    </w:p>
    <w:p w:rsidR="00366217" w:rsidRDefault="00FD1DB0">
      <w:pPr>
        <w:ind w:left="709"/>
        <w:jc w:val="both"/>
        <w:rPr>
          <w:rFonts w:cstheme="minorHAnsi"/>
        </w:rPr>
      </w:pPr>
      <w:r>
        <w:rPr>
          <w:rFonts w:cstheme="minorHAnsi"/>
        </w:rPr>
        <w:t>Voorwaarden voor toepassing gecentraliseerde vrijmaking (CC)</w:t>
      </w:r>
    </w:p>
    <w:p w:rsidR="00366217" w:rsidRDefault="00FD1DB0">
      <w:pPr>
        <w:pStyle w:val="Lijstalinea"/>
        <w:numPr>
          <w:ilvl w:val="0"/>
          <w:numId w:val="13"/>
        </w:numPr>
        <w:jc w:val="both"/>
        <w:rPr>
          <w:rFonts w:cstheme="minorHAnsi"/>
        </w:rPr>
      </w:pPr>
      <w:r>
        <w:rPr>
          <w:rFonts w:cstheme="minorHAnsi"/>
        </w:rPr>
        <w:t>men kan enkel gebruik maken van deze vereenvoudiging indien men AEOC is.</w:t>
      </w:r>
    </w:p>
    <w:p w:rsidR="00366217" w:rsidRDefault="00FD1DB0">
      <w:pPr>
        <w:pStyle w:val="Lijstalinea"/>
        <w:numPr>
          <w:ilvl w:val="0"/>
          <w:numId w:val="13"/>
        </w:numPr>
        <w:jc w:val="both"/>
        <w:rPr>
          <w:rFonts w:cstheme="minorHAnsi"/>
        </w:rPr>
      </w:pPr>
      <w:r>
        <w:rPr>
          <w:rFonts w:cstheme="minorHAnsi"/>
        </w:rPr>
        <w:t>met betrekking tot de regelingen in het vrije verkeer brengen, douane-entrepot, tijdelijke invoer, bijzondere bestemming, actieve veredeling, passieve veredeling, uitvoer en wederuitvoer. Vrije zones en de regeling Uniedouanevervoer worden uitgesloten.</w:t>
      </w:r>
    </w:p>
    <w:p w:rsidR="00366217" w:rsidRDefault="00FD1DB0">
      <w:pPr>
        <w:pStyle w:val="Lijstalinea"/>
        <w:numPr>
          <w:ilvl w:val="0"/>
          <w:numId w:val="13"/>
        </w:numPr>
        <w:jc w:val="both"/>
        <w:rPr>
          <w:rFonts w:cstheme="minorHAnsi"/>
        </w:rPr>
      </w:pPr>
      <w:r>
        <w:rPr>
          <w:rFonts w:cstheme="minorHAnsi"/>
        </w:rPr>
        <w:t>de raadplegingsprocedure is vereist indien meer dan één lidstaat betrokken is.</w:t>
      </w:r>
    </w:p>
    <w:p w:rsidR="00366217" w:rsidRDefault="00FD1DB0">
      <w:pPr>
        <w:pStyle w:val="Lijstalinea"/>
        <w:numPr>
          <w:ilvl w:val="0"/>
          <w:numId w:val="13"/>
        </w:numPr>
        <w:jc w:val="both"/>
        <w:rPr>
          <w:rFonts w:cstheme="minorHAnsi"/>
        </w:rPr>
      </w:pPr>
      <w:r>
        <w:rPr>
          <w:rFonts w:cstheme="minorHAnsi"/>
        </w:rPr>
        <w:t>Verschillende vormen van aangifte zijn mogelijk bij gecentraliseerde vrijmaking. Het betreft de standaardaangifte, de vereenvoudigde aangifte, de kennisgeving van aanbrenging alsook de douaneaangifte in de vorm van EIR.</w:t>
      </w:r>
    </w:p>
    <w:p w:rsidR="00366217" w:rsidRDefault="00FD1DB0">
      <w:pPr>
        <w:pStyle w:val="Lijstalinea"/>
        <w:numPr>
          <w:ilvl w:val="0"/>
          <w:numId w:val="13"/>
        </w:numPr>
        <w:suppressAutoHyphens w:val="0"/>
        <w:spacing w:after="0"/>
        <w:jc w:val="both"/>
        <w:rPr>
          <w:rFonts w:cstheme="minorHAnsi"/>
        </w:rPr>
      </w:pPr>
      <w:r>
        <w:rPr>
          <w:rFonts w:cstheme="minorHAnsi"/>
        </w:rPr>
        <w:t>Vrijstelling van kennisgeving van aanbrenging = mogelijk.</w:t>
      </w:r>
    </w:p>
    <w:p w:rsidR="00366217" w:rsidRDefault="00FD1DB0">
      <w:pPr>
        <w:pStyle w:val="Lijstalinea"/>
        <w:numPr>
          <w:ilvl w:val="0"/>
          <w:numId w:val="13"/>
        </w:numPr>
        <w:suppressAutoHyphens w:val="0"/>
        <w:spacing w:after="0"/>
        <w:jc w:val="both"/>
        <w:rPr>
          <w:rFonts w:cstheme="minorHAnsi"/>
        </w:rPr>
      </w:pPr>
      <w:r>
        <w:rPr>
          <w:rFonts w:cstheme="minorHAnsi"/>
        </w:rPr>
        <w:t>Vergunninghouder CC die aangifte indient onder vorm EIR moet voldoen aan verplichting art. 234, lid 1 (f) IA.</w:t>
      </w:r>
    </w:p>
    <w:p w:rsidR="00366217" w:rsidRDefault="00366217">
      <w:pPr>
        <w:pStyle w:val="Lijstalinea"/>
        <w:ind w:left="1429"/>
        <w:jc w:val="both"/>
        <w:rPr>
          <w:rFonts w:ascii="Calibri" w:eastAsia="Calibri" w:hAnsi="Calibri" w:cstheme="minorHAnsi"/>
        </w:rPr>
      </w:pPr>
    </w:p>
    <w:p w:rsidR="00366217" w:rsidRDefault="00FD1DB0">
      <w:pPr>
        <w:pStyle w:val="Lijstalinea"/>
        <w:jc w:val="both"/>
        <w:rPr>
          <w:rFonts w:cstheme="minorHAnsi"/>
          <w:b/>
          <w:bCs/>
          <w:i/>
          <w:u w:val="single"/>
        </w:rPr>
      </w:pPr>
      <w:r>
        <w:rPr>
          <w:rFonts w:cstheme="minorHAnsi"/>
          <w:b/>
          <w:bCs/>
          <w:i/>
          <w:color w:val="C0504D" w:themeColor="accent2"/>
          <w:u w:val="single"/>
        </w:rPr>
        <w:t>Overgangsmaatregelen</w:t>
      </w:r>
    </w:p>
    <w:p w:rsidR="00366217" w:rsidRDefault="00366217">
      <w:pPr>
        <w:pStyle w:val="Lijstalinea"/>
        <w:jc w:val="both"/>
        <w:rPr>
          <w:rFonts w:ascii="Calibri" w:eastAsia="Calibri" w:hAnsi="Calibri" w:cstheme="minorHAnsi"/>
          <w:i/>
        </w:rPr>
      </w:pPr>
    </w:p>
    <w:p w:rsidR="00366217" w:rsidRDefault="00FD1DB0">
      <w:pPr>
        <w:pStyle w:val="Lijstalinea"/>
        <w:jc w:val="both"/>
        <w:rPr>
          <w:rFonts w:cstheme="minorHAnsi"/>
          <w:i/>
        </w:rPr>
      </w:pPr>
      <w:r>
        <w:rPr>
          <w:rFonts w:cstheme="minorHAnsi"/>
          <w:i/>
        </w:rPr>
        <w:t xml:space="preserve">UCC werkprogramma: voor het project UCC Gecentraliseerde inklaring is een tijdsframe voorzien </w:t>
      </w:r>
      <w:r>
        <w:rPr>
          <w:rFonts w:cstheme="minorHAnsi"/>
          <w:b/>
          <w:bCs/>
          <w:i/>
          <w:u w:val="single"/>
        </w:rPr>
        <w:t>met uitrol vanaf oktober 2020</w:t>
      </w:r>
      <w:r>
        <w:rPr>
          <w:rFonts w:cstheme="minorHAnsi"/>
          <w:i/>
        </w:rPr>
        <w:t>. Dit project moet ervoor zorgen dat goederen via een gecentraliseerd systeem onder een douaneregeling kunnen worden geplaatst, zodat bedrijven hun douaneactiviteiten kunnen centraliseren.</w:t>
      </w:r>
    </w:p>
    <w:p w:rsidR="00366217" w:rsidRDefault="00366217">
      <w:pPr>
        <w:pStyle w:val="Lijstalinea"/>
        <w:jc w:val="both"/>
        <w:rPr>
          <w:rFonts w:ascii="Calibri" w:eastAsia="Calibri" w:hAnsi="Calibri" w:cstheme="minorHAnsi"/>
          <w:i/>
        </w:rPr>
      </w:pPr>
    </w:p>
    <w:p w:rsidR="00366217" w:rsidRDefault="00FD1DB0">
      <w:pPr>
        <w:pStyle w:val="Lijstalinea"/>
        <w:jc w:val="both"/>
        <w:rPr>
          <w:rFonts w:cstheme="minorHAnsi"/>
          <w:i/>
        </w:rPr>
      </w:pPr>
      <w:r>
        <w:rPr>
          <w:rFonts w:cstheme="minorHAnsi"/>
          <w:i/>
        </w:rPr>
        <w:t>Tijdens de overgangsfase zullen de huidige vergunningen SASP, die aanzien worden als een vorm van gecentraliseerde vrijmaking, blijven verder lopen. De lidstaten moeten onderling afspraken maken met betrekking tot de uitwisseling van informatie.  Een lijst met aanvragen en vergunningen wordt overgemaakt aan de Commissie die dit zal publiceren op CIRCABC (interne douane Europese website) . Lidstaten kunnen aanvraag tot gecentraliseerde vrijmaking kunnen blijven weigeren indien dit voor een disproportionele administratieve last zorgt maar moeten die weigering grondig motiveren. Controleplan verplicht tijdens overgang.</w:t>
      </w:r>
    </w:p>
    <w:p w:rsidR="00366217" w:rsidRDefault="00366217">
      <w:pPr>
        <w:pStyle w:val="Lijstalinea"/>
        <w:jc w:val="both"/>
        <w:rPr>
          <w:rFonts w:ascii="Calibri" w:eastAsia="Calibri" w:hAnsi="Calibri" w:cstheme="minorHAnsi"/>
          <w:i/>
        </w:rPr>
      </w:pPr>
    </w:p>
    <w:p w:rsidR="00366217" w:rsidRDefault="00FD1DB0">
      <w:pPr>
        <w:pStyle w:val="Lijstalinea"/>
        <w:numPr>
          <w:ilvl w:val="0"/>
          <w:numId w:val="30"/>
        </w:numPr>
        <w:ind w:left="720" w:hanging="87"/>
        <w:jc w:val="both"/>
        <w:rPr>
          <w:rFonts w:cstheme="minorHAnsi"/>
          <w:b/>
          <w:u w:val="single"/>
        </w:rPr>
      </w:pPr>
      <w:r>
        <w:rPr>
          <w:rFonts w:cstheme="minorHAnsi"/>
          <w:b/>
          <w:u w:val="single"/>
        </w:rPr>
        <w:t>Inschrijving in de administratie van de aangever</w:t>
      </w:r>
    </w:p>
    <w:p w:rsidR="00366217" w:rsidRDefault="00366217">
      <w:pPr>
        <w:pStyle w:val="Lijstalinea"/>
        <w:ind w:left="1080"/>
        <w:jc w:val="both"/>
        <w:rPr>
          <w:rFonts w:ascii="Calibri" w:eastAsia="Calibri" w:hAnsi="Calibri" w:cstheme="minorHAnsi"/>
          <w:b/>
          <w:u w:val="single"/>
        </w:rPr>
      </w:pPr>
    </w:p>
    <w:p w:rsidR="00366217" w:rsidRDefault="00FD1DB0">
      <w:pPr>
        <w:pStyle w:val="Lijstalinea"/>
        <w:numPr>
          <w:ilvl w:val="0"/>
          <w:numId w:val="23"/>
        </w:numPr>
        <w:jc w:val="both"/>
        <w:rPr>
          <w:rFonts w:cstheme="minorHAnsi"/>
        </w:rPr>
      </w:pPr>
      <w:r>
        <w:rPr>
          <w:rFonts w:cstheme="minorHAnsi"/>
        </w:rPr>
        <w:t>Inschrijving in de administratie van de aangever = het indienen van een douaneaangifte onder een inschrijving in de administratie van de aangever.</w:t>
      </w:r>
    </w:p>
    <w:p w:rsidR="00366217" w:rsidRDefault="00FD1DB0">
      <w:pPr>
        <w:pStyle w:val="Lijstalinea"/>
        <w:numPr>
          <w:ilvl w:val="0"/>
          <w:numId w:val="14"/>
        </w:numPr>
        <w:jc w:val="both"/>
        <w:rPr>
          <w:rFonts w:cstheme="minorHAnsi"/>
        </w:rPr>
      </w:pPr>
      <w:r>
        <w:rPr>
          <w:rFonts w:cstheme="minorHAnsi"/>
        </w:rPr>
        <w:t xml:space="preserve">Er moet voldaan zijn aan de criteria van art. 39 a), b) en d) UCC . Dit wil zeggen: </w:t>
      </w:r>
    </w:p>
    <w:p w:rsidR="00366217" w:rsidRDefault="00FD1DB0">
      <w:pPr>
        <w:pStyle w:val="Lijstalinea"/>
        <w:ind w:left="1701" w:hanging="283"/>
        <w:jc w:val="both"/>
        <w:rPr>
          <w:rFonts w:cstheme="minorHAnsi"/>
        </w:rPr>
      </w:pPr>
      <w:r>
        <w:rPr>
          <w:rFonts w:cstheme="minorHAnsi"/>
        </w:rPr>
        <w:t>a)geen ernstige of herhaalde overtredingen tegen de douanewetgeving hebben begaan, en</w:t>
      </w:r>
    </w:p>
    <w:p w:rsidR="00366217" w:rsidRDefault="00FD1DB0">
      <w:pPr>
        <w:pStyle w:val="Lijstalinea"/>
        <w:ind w:left="1701" w:hanging="283"/>
        <w:jc w:val="both"/>
        <w:rPr>
          <w:rFonts w:cstheme="minorHAnsi"/>
        </w:rPr>
      </w:pPr>
      <w:r>
        <w:rPr>
          <w:rFonts w:cstheme="minorHAnsi"/>
        </w:rPr>
        <w:t>b)</w:t>
      </w:r>
      <w:r>
        <w:rPr>
          <w:rFonts w:cstheme="minorHAnsi"/>
        </w:rPr>
        <w:tab/>
        <w:t>het hebben van een handels- en/of vervoersadministratie die controle mogelijk maakt en</w:t>
      </w:r>
    </w:p>
    <w:p w:rsidR="00366217" w:rsidRDefault="00FD1DB0">
      <w:pPr>
        <w:pStyle w:val="Lijstalinea"/>
        <w:ind w:left="1701" w:hanging="283"/>
        <w:jc w:val="both"/>
        <w:rPr>
          <w:rFonts w:cstheme="minorHAnsi"/>
        </w:rPr>
      </w:pPr>
      <w:r>
        <w:rPr>
          <w:rFonts w:cstheme="minorHAnsi"/>
        </w:rPr>
        <w:t xml:space="preserve"> c) voldoen aan de criteria inzake praktische vakbekwaamheid.</w:t>
      </w:r>
    </w:p>
    <w:p w:rsidR="00366217" w:rsidRDefault="00366217">
      <w:pPr>
        <w:pStyle w:val="Lijstalinea"/>
        <w:ind w:left="1701" w:hanging="283"/>
        <w:jc w:val="both"/>
        <w:rPr>
          <w:rFonts w:ascii="Calibri" w:eastAsia="Calibri" w:hAnsi="Calibri" w:cstheme="minorHAnsi"/>
        </w:rPr>
      </w:pPr>
    </w:p>
    <w:p w:rsidR="00366217" w:rsidRDefault="00FD1DB0">
      <w:pPr>
        <w:pStyle w:val="Lijstalinea"/>
        <w:ind w:left="1418"/>
        <w:jc w:val="both"/>
        <w:rPr>
          <w:rFonts w:cstheme="minorHAnsi"/>
        </w:rPr>
      </w:pPr>
      <w:r>
        <w:rPr>
          <w:rFonts w:cstheme="minorHAnsi"/>
        </w:rPr>
        <w:t>Het betreft bijna dezelfde regelingen als bij gecentraliseerde vrijmaking.</w:t>
      </w:r>
    </w:p>
    <w:p w:rsidR="00366217" w:rsidRDefault="00FD1DB0">
      <w:pPr>
        <w:pStyle w:val="Lijstalinea"/>
        <w:numPr>
          <w:ilvl w:val="0"/>
          <w:numId w:val="14"/>
        </w:numPr>
        <w:jc w:val="both"/>
        <w:rPr>
          <w:rFonts w:cstheme="minorHAnsi"/>
        </w:rPr>
      </w:pPr>
      <w:r>
        <w:rPr>
          <w:rFonts w:cstheme="minorHAnsi"/>
        </w:rPr>
        <w:t>Indien AEOC: vrijstelling van presentatie van de goederen.</w:t>
      </w:r>
    </w:p>
    <w:p w:rsidR="00366217" w:rsidRDefault="00FD1DB0">
      <w:pPr>
        <w:pStyle w:val="Lijstalinea"/>
        <w:numPr>
          <w:ilvl w:val="0"/>
          <w:numId w:val="14"/>
        </w:numPr>
        <w:jc w:val="both"/>
        <w:rPr>
          <w:rFonts w:cstheme="minorHAnsi"/>
        </w:rPr>
      </w:pPr>
      <w:r>
        <w:rPr>
          <w:rFonts w:cstheme="minorHAnsi"/>
        </w:rPr>
        <w:t>Aanvullende aangifte vereist binnen bepaalde tijdslimiet. Vrijstelling hiervan is wel mogelijk.</w:t>
      </w:r>
    </w:p>
    <w:p w:rsidR="00366217" w:rsidRDefault="00FD1DB0">
      <w:pPr>
        <w:pStyle w:val="Lijstalinea"/>
        <w:numPr>
          <w:ilvl w:val="0"/>
          <w:numId w:val="14"/>
        </w:numPr>
        <w:jc w:val="both"/>
        <w:rPr>
          <w:rFonts w:cstheme="minorHAnsi"/>
        </w:rPr>
      </w:pPr>
      <w:r>
        <w:rPr>
          <w:rFonts w:cstheme="minorHAnsi"/>
        </w:rPr>
        <w:t>Gebruikmaking van een (doorlopende) zekerheid is mogelijk.</w:t>
      </w:r>
    </w:p>
    <w:p w:rsidR="00366217" w:rsidRDefault="00FD1DB0">
      <w:pPr>
        <w:pStyle w:val="Lijstalinea"/>
        <w:numPr>
          <w:ilvl w:val="0"/>
          <w:numId w:val="14"/>
        </w:numPr>
        <w:jc w:val="both"/>
        <w:rPr>
          <w:rFonts w:cstheme="minorHAnsi"/>
        </w:rPr>
      </w:pPr>
      <w:r>
        <w:rPr>
          <w:rFonts w:cstheme="minorHAnsi"/>
        </w:rPr>
        <w:t>De opmaak van een controleprogramma is vereist.</w:t>
      </w:r>
    </w:p>
    <w:p w:rsidR="00366217" w:rsidRDefault="00FD1DB0">
      <w:pPr>
        <w:pStyle w:val="Lijstalinea"/>
        <w:numPr>
          <w:ilvl w:val="0"/>
          <w:numId w:val="14"/>
        </w:numPr>
        <w:jc w:val="both"/>
        <w:rPr>
          <w:rFonts w:cstheme="minorHAnsi"/>
        </w:rPr>
      </w:pPr>
      <w:r>
        <w:rPr>
          <w:rFonts w:cstheme="minorHAnsi"/>
        </w:rPr>
        <w:t xml:space="preserve">Wel enkele beperkingen: </w:t>
      </w:r>
    </w:p>
    <w:p w:rsidR="00366217" w:rsidRDefault="00FD1DB0">
      <w:pPr>
        <w:pStyle w:val="Lijstalinea"/>
        <w:numPr>
          <w:ilvl w:val="0"/>
          <w:numId w:val="16"/>
        </w:numPr>
        <w:ind w:left="2127"/>
        <w:jc w:val="both"/>
        <w:rPr>
          <w:rFonts w:cstheme="minorHAnsi"/>
        </w:rPr>
      </w:pPr>
      <w:r>
        <w:rPr>
          <w:rFonts w:cstheme="minorHAnsi"/>
        </w:rPr>
        <w:t>GEEN toekenning van de vergunning wanneer het gaat om in het vrije verkeer brengen in  enkele gevallen.</w:t>
      </w:r>
    </w:p>
    <w:p w:rsidR="00366217" w:rsidRDefault="00FD1DB0">
      <w:pPr>
        <w:pStyle w:val="Lijstalinea"/>
        <w:numPr>
          <w:ilvl w:val="0"/>
          <w:numId w:val="15"/>
        </w:numPr>
        <w:ind w:left="2127"/>
        <w:jc w:val="both"/>
        <w:rPr>
          <w:rFonts w:cstheme="minorHAnsi"/>
        </w:rPr>
      </w:pPr>
      <w:r>
        <w:rPr>
          <w:rFonts w:cstheme="minorHAnsi"/>
        </w:rPr>
        <w:t>Wanneer de aanvraag betrekking heeft op uitvoer en wederuitvoer moet aan bijkomende voorwaarden worden voldaan.</w:t>
      </w:r>
    </w:p>
    <w:p w:rsidR="00366217" w:rsidRDefault="00FD1DB0">
      <w:pPr>
        <w:pStyle w:val="Lijstalinea"/>
        <w:numPr>
          <w:ilvl w:val="0"/>
          <w:numId w:val="15"/>
        </w:numPr>
        <w:ind w:left="2127"/>
        <w:jc w:val="both"/>
        <w:rPr>
          <w:rFonts w:cstheme="minorHAnsi"/>
        </w:rPr>
      </w:pPr>
      <w:r>
        <w:rPr>
          <w:rFonts w:cstheme="minorHAnsi"/>
        </w:rPr>
        <w:t>Wanneer de uitvoer van accijnsgoederen uitgesloten is in het geval het artikel 30 van de Richtlijn 2008/118/EG van toepassing is.</w:t>
      </w:r>
    </w:p>
    <w:p w:rsidR="00366217" w:rsidRDefault="00FD1DB0">
      <w:pPr>
        <w:pStyle w:val="Lijstalinea"/>
        <w:numPr>
          <w:ilvl w:val="0"/>
          <w:numId w:val="15"/>
        </w:numPr>
        <w:ind w:left="2127"/>
        <w:jc w:val="both"/>
        <w:rPr>
          <w:rFonts w:cstheme="minorHAnsi"/>
        </w:rPr>
      </w:pPr>
      <w:r>
        <w:rPr>
          <w:rFonts w:cstheme="minorHAnsi"/>
        </w:rPr>
        <w:t>GEEN EIR wanneer een INF formulier vereist is.</w:t>
      </w:r>
    </w:p>
    <w:p w:rsidR="00366217" w:rsidRDefault="00FD1DB0">
      <w:pPr>
        <w:ind w:left="993"/>
        <w:jc w:val="both"/>
        <w:rPr>
          <w:rFonts w:cstheme="minorHAnsi"/>
          <w:b/>
          <w:bCs/>
          <w:i/>
          <w:color w:val="C0504D" w:themeColor="accent2"/>
          <w:u w:val="single"/>
        </w:rPr>
      </w:pPr>
      <w:r>
        <w:rPr>
          <w:rFonts w:cstheme="minorHAnsi"/>
          <w:b/>
          <w:bCs/>
          <w:i/>
          <w:color w:val="C0504D" w:themeColor="accent2"/>
          <w:u w:val="single"/>
        </w:rPr>
        <w:t>Overgangsmaatregelen</w:t>
      </w:r>
    </w:p>
    <w:p w:rsidR="00366217" w:rsidRDefault="00FD1DB0">
      <w:pPr>
        <w:ind w:left="993"/>
        <w:jc w:val="both"/>
        <w:rPr>
          <w:rFonts w:cstheme="minorHAnsi"/>
          <w:i/>
        </w:rPr>
      </w:pPr>
      <w:r>
        <w:rPr>
          <w:rFonts w:cstheme="minorHAnsi"/>
          <w:i/>
        </w:rPr>
        <w:t>Herbeoordeling van de vergunningen voor 1 mei 2019.</w:t>
      </w:r>
    </w:p>
    <w:p w:rsidR="00366217" w:rsidRDefault="00FD1DB0">
      <w:pPr>
        <w:pStyle w:val="Lijstalinea"/>
        <w:numPr>
          <w:ilvl w:val="0"/>
          <w:numId w:val="31"/>
        </w:numPr>
        <w:ind w:left="1418" w:hanging="425"/>
        <w:jc w:val="both"/>
        <w:rPr>
          <w:rFonts w:cstheme="minorHAnsi"/>
        </w:rPr>
      </w:pPr>
      <w:r>
        <w:rPr>
          <w:rFonts w:cstheme="minorHAnsi"/>
          <w:b/>
          <w:u w:val="single"/>
        </w:rPr>
        <w:t>Beoordeling door de marktdeelnemer zelf (self assessment)</w:t>
      </w:r>
    </w:p>
    <w:p w:rsidR="00366217" w:rsidRDefault="00FD1DB0">
      <w:pPr>
        <w:pStyle w:val="Lijstalinea"/>
        <w:numPr>
          <w:ilvl w:val="0"/>
          <w:numId w:val="14"/>
        </w:numPr>
        <w:jc w:val="both"/>
        <w:rPr>
          <w:rFonts w:cstheme="minorHAnsi"/>
        </w:rPr>
      </w:pPr>
      <w:r>
        <w:rPr>
          <w:rFonts w:cstheme="minorHAnsi"/>
        </w:rPr>
        <w:t>Definitie : vervulling van bepaalde douaneformaliteiten door de marktdeelnemer zelf.  Het betreft o.a. :</w:t>
      </w:r>
    </w:p>
    <w:p w:rsidR="00366217" w:rsidRDefault="00FD1DB0">
      <w:pPr>
        <w:pStyle w:val="Lijstalinea"/>
        <w:numPr>
          <w:ilvl w:val="1"/>
          <w:numId w:val="14"/>
        </w:numPr>
        <w:jc w:val="both"/>
        <w:rPr>
          <w:rFonts w:cstheme="minorHAnsi"/>
        </w:rPr>
      </w:pPr>
      <w:r>
        <w:rPr>
          <w:rFonts w:cstheme="minorHAnsi"/>
        </w:rPr>
        <w:t xml:space="preserve">de vaststelling van de verschuldigde invoer- en uitvoerrechten </w:t>
      </w:r>
    </w:p>
    <w:p w:rsidR="00366217" w:rsidRDefault="00FD1DB0">
      <w:pPr>
        <w:pStyle w:val="Lijstalinea"/>
        <w:numPr>
          <w:ilvl w:val="1"/>
          <w:numId w:val="14"/>
        </w:numPr>
        <w:jc w:val="both"/>
        <w:rPr>
          <w:rFonts w:cstheme="minorHAnsi"/>
        </w:rPr>
      </w:pPr>
      <w:r>
        <w:rPr>
          <w:rFonts w:cstheme="minorHAnsi"/>
        </w:rPr>
        <w:t>alsook de uitvoering van bepaalde controles.</w:t>
      </w:r>
    </w:p>
    <w:p w:rsidR="00366217" w:rsidRDefault="00FD1DB0">
      <w:pPr>
        <w:pStyle w:val="Lijstalinea"/>
        <w:numPr>
          <w:ilvl w:val="0"/>
          <w:numId w:val="14"/>
        </w:numPr>
        <w:jc w:val="both"/>
        <w:rPr>
          <w:rFonts w:cstheme="minorHAnsi"/>
        </w:rPr>
      </w:pPr>
      <w:r>
        <w:rPr>
          <w:rFonts w:cstheme="minorHAnsi"/>
        </w:rPr>
        <w:t>Status van AEOC vereist.</w:t>
      </w:r>
    </w:p>
    <w:p w:rsidR="00366217" w:rsidRDefault="00FD1DB0">
      <w:pPr>
        <w:pStyle w:val="Lijstalinea"/>
        <w:numPr>
          <w:ilvl w:val="0"/>
          <w:numId w:val="14"/>
        </w:numPr>
        <w:suppressAutoHyphens w:val="0"/>
        <w:spacing w:after="0"/>
        <w:jc w:val="both"/>
        <w:rPr>
          <w:rFonts w:cstheme="minorHAnsi"/>
          <w:color w:val="0070C0"/>
        </w:rPr>
      </w:pPr>
      <w:r>
        <w:rPr>
          <w:rFonts w:cstheme="minorHAnsi"/>
        </w:rPr>
        <w:t>De aanvrager moet in het bezit zijn van een vergunning tot inschrijving in de administratie van de aangever + aanvraag moet betrekking hebben op dezelfde regelingen als bij CC en EIDR.</w:t>
      </w:r>
    </w:p>
    <w:p w:rsidR="00366217" w:rsidRDefault="00366217">
      <w:pPr>
        <w:pStyle w:val="Lijstalinea"/>
        <w:ind w:left="709"/>
        <w:jc w:val="both"/>
        <w:rPr>
          <w:rFonts w:ascii="Calibri" w:eastAsia="Calibri" w:hAnsi="Calibri" w:cstheme="minorHAnsi"/>
          <w:color w:val="0070C0"/>
        </w:rPr>
      </w:pPr>
    </w:p>
    <w:p w:rsidR="00366217" w:rsidRDefault="00FD1DB0">
      <w:pPr>
        <w:pStyle w:val="Titredeux"/>
        <w:numPr>
          <w:ilvl w:val="1"/>
          <w:numId w:val="1"/>
        </w:numPr>
        <w:jc w:val="both"/>
        <w:rPr>
          <w:rFonts w:cstheme="minorHAnsi"/>
        </w:rPr>
      </w:pPr>
      <w:bookmarkStart w:id="23" w:name="_Toc438135711"/>
      <w:bookmarkEnd w:id="23"/>
      <w:r>
        <w:rPr>
          <w:rFonts w:cstheme="minorHAnsi"/>
        </w:rPr>
        <w:t>Titel VI: In het vrije verkeer brengen en vrijstelling van invoerrechten.</w:t>
      </w:r>
    </w:p>
    <w:p w:rsidR="00366217" w:rsidRDefault="00FD1DB0">
      <w:pPr>
        <w:pStyle w:val="Lijstalinea"/>
        <w:jc w:val="both"/>
      </w:pPr>
      <w:r>
        <w:rPr>
          <w:rFonts w:cstheme="minorHAnsi"/>
          <w:b/>
          <w:bCs/>
        </w:rPr>
        <w:t xml:space="preserve">Vrij verkeer </w:t>
      </w:r>
      <w:r>
        <w:rPr>
          <w:rFonts w:cstheme="minorHAnsi"/>
        </w:rPr>
        <w:t>: geen noemenswaardige wijzigingen, de procedure inzake de erkende weger en de controle door de douane van 5% van het totaal aantal overgelegde weegcertificaten voor verse bananen blijft mits enkele kleine wijzigingen behouden.</w:t>
      </w:r>
    </w:p>
    <w:p w:rsidR="00366217" w:rsidRDefault="00366217">
      <w:pPr>
        <w:pStyle w:val="Lijstalinea"/>
        <w:jc w:val="both"/>
        <w:rPr>
          <w:rFonts w:ascii="Calibri" w:eastAsia="Calibri" w:hAnsi="Calibri" w:cstheme="minorHAnsi"/>
        </w:rPr>
      </w:pPr>
    </w:p>
    <w:p w:rsidR="00366217" w:rsidRDefault="00FD1DB0">
      <w:pPr>
        <w:pStyle w:val="Lijstalinea"/>
        <w:jc w:val="both"/>
        <w:rPr>
          <w:rFonts w:cstheme="minorHAnsi"/>
        </w:rPr>
      </w:pPr>
      <w:r>
        <w:rPr>
          <w:rFonts w:cstheme="minorHAnsi"/>
          <w:b/>
          <w:bCs/>
        </w:rPr>
        <w:t>Vrijstelling</w:t>
      </w:r>
      <w:r>
        <w:rPr>
          <w:rFonts w:cstheme="minorHAnsi"/>
        </w:rPr>
        <w:t xml:space="preserve"> : Verordening over vrijstelling 1186/2009 vervangt oude verordening 918/83 maar alle gevallen van vrijstellingen blijven, behalve afschaffing van vrijstelling voor tweede verblijfplaats.</w:t>
      </w:r>
    </w:p>
    <w:p w:rsidR="00366217" w:rsidRDefault="00366217">
      <w:pPr>
        <w:pStyle w:val="Lijstalinea"/>
        <w:jc w:val="both"/>
        <w:rPr>
          <w:rFonts w:ascii="Calibri" w:eastAsia="Calibri" w:hAnsi="Calibri" w:cstheme="minorHAnsi"/>
          <w:color w:val="0070C0"/>
        </w:rPr>
      </w:pPr>
    </w:p>
    <w:p w:rsidR="00366217" w:rsidRDefault="00FD1DB0">
      <w:pPr>
        <w:pStyle w:val="Titredeux"/>
        <w:numPr>
          <w:ilvl w:val="1"/>
          <w:numId w:val="1"/>
        </w:numPr>
        <w:jc w:val="both"/>
        <w:rPr>
          <w:rFonts w:cstheme="minorHAnsi"/>
          <w:b w:val="0"/>
          <w:bCs w:val="0"/>
        </w:rPr>
      </w:pPr>
      <w:bookmarkStart w:id="24" w:name="_Toc438135712"/>
      <w:r>
        <w:rPr>
          <w:rStyle w:val="TitredeuxCar"/>
          <w:rFonts w:cstheme="minorHAnsi"/>
          <w:b/>
          <w:bCs/>
        </w:rPr>
        <w:t>Titel VII: Bijzondere regelingen</w:t>
      </w:r>
      <w:bookmarkEnd w:id="24"/>
      <w:r>
        <w:rPr>
          <w:rFonts w:cstheme="minorHAnsi"/>
          <w:b w:val="0"/>
          <w:bCs w:val="0"/>
          <w:color w:val="0070C0"/>
        </w:rPr>
        <w:t>.</w:t>
      </w:r>
    </w:p>
    <w:p w:rsidR="00366217" w:rsidRDefault="00FD1DB0">
      <w:pPr>
        <w:pStyle w:val="Titretrois"/>
        <w:numPr>
          <w:ilvl w:val="2"/>
          <w:numId w:val="1"/>
        </w:numPr>
        <w:jc w:val="both"/>
        <w:rPr>
          <w:rFonts w:cstheme="minorHAnsi"/>
          <w:sz w:val="22"/>
          <w:szCs w:val="22"/>
        </w:rPr>
      </w:pPr>
      <w:bookmarkStart w:id="25" w:name="_Toc438135713"/>
      <w:bookmarkEnd w:id="25"/>
      <w:r>
        <w:rPr>
          <w:rFonts w:cstheme="minorHAnsi"/>
          <w:sz w:val="22"/>
          <w:szCs w:val="22"/>
        </w:rPr>
        <w:t>Algemene bepalingen</w:t>
      </w:r>
    </w:p>
    <w:p w:rsidR="00366217" w:rsidRDefault="00FD1DB0">
      <w:pPr>
        <w:pStyle w:val="Lijstalinea"/>
        <w:numPr>
          <w:ilvl w:val="0"/>
          <w:numId w:val="31"/>
        </w:numPr>
        <w:jc w:val="both"/>
        <w:rPr>
          <w:rFonts w:cstheme="minorHAnsi"/>
        </w:rPr>
      </w:pPr>
      <w:r>
        <w:rPr>
          <w:rFonts w:cstheme="minorHAnsi"/>
        </w:rPr>
        <w:t>Volledige overdracht van rechten en plichten blijft mogelijk. Gedeeltelijke overdracht is nu ook mogelijk. (art.218 UCC).</w:t>
      </w:r>
    </w:p>
    <w:p w:rsidR="00366217" w:rsidRDefault="00366217">
      <w:pPr>
        <w:pStyle w:val="Lijstalinea"/>
        <w:ind w:left="1429"/>
        <w:jc w:val="both"/>
        <w:rPr>
          <w:rFonts w:ascii="Calibri" w:eastAsia="Calibri" w:hAnsi="Calibri" w:cstheme="minorHAnsi"/>
        </w:rPr>
      </w:pPr>
    </w:p>
    <w:p w:rsidR="00366217" w:rsidRDefault="00FD1DB0">
      <w:pPr>
        <w:pStyle w:val="Lijstalinea"/>
        <w:numPr>
          <w:ilvl w:val="0"/>
          <w:numId w:val="31"/>
        </w:numPr>
        <w:jc w:val="both"/>
        <w:rPr>
          <w:rFonts w:cstheme="minorHAnsi"/>
        </w:rPr>
      </w:pPr>
      <w:r>
        <w:rPr>
          <w:rFonts w:cstheme="minorHAnsi"/>
        </w:rPr>
        <w:t>De vergunningen zijn 5 jaar geldig. Vergunningen met betrekking tot gevoelige goederen zijn slechts 3 jaar geldig (art. 173 DA).</w:t>
      </w:r>
    </w:p>
    <w:p w:rsidR="00366217" w:rsidRDefault="00FD1DB0">
      <w:pPr>
        <w:pStyle w:val="Titretrois"/>
        <w:numPr>
          <w:ilvl w:val="2"/>
          <w:numId w:val="1"/>
        </w:numPr>
        <w:jc w:val="both"/>
        <w:rPr>
          <w:rFonts w:cstheme="minorHAnsi"/>
          <w:sz w:val="22"/>
          <w:szCs w:val="22"/>
        </w:rPr>
      </w:pPr>
      <w:bookmarkStart w:id="26" w:name="_Toc438135714"/>
      <w:bookmarkEnd w:id="26"/>
      <w:r>
        <w:rPr>
          <w:rFonts w:cstheme="minorHAnsi"/>
          <w:sz w:val="22"/>
          <w:szCs w:val="22"/>
        </w:rPr>
        <w:t>Douanevervoer</w:t>
      </w:r>
    </w:p>
    <w:p w:rsidR="00366217" w:rsidRDefault="00FD1DB0">
      <w:pPr>
        <w:pStyle w:val="Lijstalinea"/>
        <w:numPr>
          <w:ilvl w:val="0"/>
          <w:numId w:val="17"/>
        </w:numPr>
        <w:jc w:val="both"/>
        <w:rPr>
          <w:rFonts w:cstheme="minorHAnsi"/>
        </w:rPr>
      </w:pPr>
      <w:r>
        <w:rPr>
          <w:rFonts w:cstheme="minorHAnsi"/>
        </w:rPr>
        <w:t>Nieuwe criteria te vervullen bij aanvraag vergunningen.</w:t>
      </w:r>
    </w:p>
    <w:p w:rsidR="00366217" w:rsidRDefault="00FD1DB0">
      <w:pPr>
        <w:pStyle w:val="Lijstalinea"/>
        <w:numPr>
          <w:ilvl w:val="0"/>
          <w:numId w:val="17"/>
        </w:numPr>
        <w:jc w:val="both"/>
        <w:rPr>
          <w:rFonts w:cstheme="minorHAnsi"/>
        </w:rPr>
      </w:pPr>
      <w:r>
        <w:rPr>
          <w:rFonts w:cstheme="minorHAnsi"/>
        </w:rPr>
        <w:t>Sommige nationale vereenvoudigingen verdwijnen.</w:t>
      </w:r>
    </w:p>
    <w:p w:rsidR="00366217" w:rsidRDefault="00FD1DB0">
      <w:pPr>
        <w:pStyle w:val="Lijstalinea"/>
        <w:numPr>
          <w:ilvl w:val="0"/>
          <w:numId w:val="17"/>
        </w:numPr>
        <w:jc w:val="both"/>
        <w:rPr>
          <w:rFonts w:cstheme="minorHAnsi"/>
        </w:rPr>
      </w:pPr>
      <w:r>
        <w:rPr>
          <w:rFonts w:cstheme="minorHAnsi"/>
        </w:rPr>
        <w:t>Huidige vereenvoudigingen toegelaten afzender, toegelaten geadresseerde en gebruik van speciale verzegelingen blijven beschikbaar. Er moet wel voldaan zijn aan enkele AEO criteria.</w:t>
      </w:r>
    </w:p>
    <w:p w:rsidR="00366217" w:rsidRDefault="00FD1DB0">
      <w:pPr>
        <w:pStyle w:val="Lijstalinea"/>
        <w:numPr>
          <w:ilvl w:val="0"/>
          <w:numId w:val="17"/>
        </w:numPr>
        <w:jc w:val="both"/>
        <w:rPr>
          <w:rFonts w:cstheme="minorHAnsi"/>
        </w:rPr>
      </w:pPr>
      <w:r>
        <w:rPr>
          <w:rFonts w:cstheme="minorHAnsi"/>
        </w:rPr>
        <w:t>Nieuwe vereenvoudiging = gebruik van een gereduceerde dataset voor NCTS bij vervoer spoor, lucht en zee.</w:t>
      </w:r>
    </w:p>
    <w:p w:rsidR="00366217" w:rsidRDefault="00FD1DB0">
      <w:pPr>
        <w:pStyle w:val="Lijstalinea"/>
        <w:numPr>
          <w:ilvl w:val="0"/>
          <w:numId w:val="17"/>
        </w:numPr>
        <w:jc w:val="both"/>
        <w:rPr>
          <w:rFonts w:cstheme="minorHAnsi"/>
        </w:rPr>
      </w:pPr>
      <w:r>
        <w:rPr>
          <w:rFonts w:cstheme="minorHAnsi"/>
        </w:rPr>
        <w:t>Vereenvoudigde procedure niveau 1 en 2 (lucht en zee) = vervangen door het gebruik van een elektronisch vervoersdocument. Niet meer op papier.</w:t>
      </w:r>
    </w:p>
    <w:p w:rsidR="00366217" w:rsidRDefault="00FD1DB0">
      <w:pPr>
        <w:pStyle w:val="Lijstalinea"/>
        <w:numPr>
          <w:ilvl w:val="0"/>
          <w:numId w:val="17"/>
        </w:numPr>
        <w:jc w:val="both"/>
        <w:rPr>
          <w:rFonts w:cstheme="minorHAnsi"/>
        </w:rPr>
      </w:pPr>
      <w:r>
        <w:rPr>
          <w:rFonts w:cstheme="minorHAnsi"/>
        </w:rPr>
        <w:t>Extern douanevervoer. Niet-Unie goederen worden vervoerd binnen de Europese Unie van een punt naar een ander punt met schorsing van de invoerrechten en andere heffingen of handelspolitieke maatregelen. In specifieke gevallen, worden Unie goederen onder de procedure extern vervoer geplaatst.</w:t>
      </w:r>
    </w:p>
    <w:p w:rsidR="00366217" w:rsidRDefault="00FD1DB0">
      <w:pPr>
        <w:pStyle w:val="Lijstalinea"/>
        <w:numPr>
          <w:ilvl w:val="0"/>
          <w:numId w:val="17"/>
        </w:numPr>
        <w:suppressAutoHyphens w:val="0"/>
        <w:spacing w:after="0"/>
        <w:jc w:val="both"/>
        <w:rPr>
          <w:rFonts w:cstheme="minorHAnsi"/>
        </w:rPr>
      </w:pPr>
      <w:r>
        <w:rPr>
          <w:rFonts w:cstheme="minorHAnsi"/>
        </w:rPr>
        <w:t>Intern douanevervoer.  Unie goederen mogen worden vervoerd van een plaats naar een andere plaats binnen de Europese Unie en mogen daarbij zonder gevolgen buiten het douanegebied van de Europese Unie worden gebracht.</w:t>
      </w:r>
    </w:p>
    <w:p w:rsidR="00366217" w:rsidRDefault="00366217">
      <w:pPr>
        <w:pStyle w:val="Lijstalinea"/>
        <w:suppressAutoHyphens w:val="0"/>
        <w:spacing w:after="0"/>
        <w:ind w:left="1440"/>
        <w:jc w:val="both"/>
        <w:rPr>
          <w:rFonts w:ascii="Calibri" w:eastAsia="Calibri" w:hAnsi="Calibri" w:cstheme="minorHAnsi"/>
        </w:rPr>
      </w:pPr>
    </w:p>
    <w:p w:rsidR="00366217" w:rsidRDefault="00FD1DB0">
      <w:pPr>
        <w:ind w:left="1080"/>
        <w:jc w:val="both"/>
        <w:rPr>
          <w:rFonts w:cstheme="minorHAnsi"/>
          <w:b/>
          <w:bCs/>
          <w:i/>
          <w:color w:val="C0504D" w:themeColor="accent2"/>
          <w:u w:val="single"/>
        </w:rPr>
      </w:pPr>
      <w:r>
        <w:rPr>
          <w:rFonts w:cstheme="minorHAnsi"/>
          <w:b/>
          <w:bCs/>
          <w:i/>
          <w:color w:val="C0504D" w:themeColor="accent2"/>
          <w:u w:val="single"/>
        </w:rPr>
        <w:t>Overgangsmaatregelen voor de douanevervoer</w:t>
      </w:r>
    </w:p>
    <w:p w:rsidR="00366217" w:rsidRDefault="00FD1DB0">
      <w:pPr>
        <w:pStyle w:val="Lijstalinea"/>
        <w:numPr>
          <w:ilvl w:val="0"/>
          <w:numId w:val="18"/>
        </w:numPr>
        <w:jc w:val="both"/>
        <w:rPr>
          <w:rFonts w:cstheme="minorHAnsi"/>
          <w:b/>
          <w:bCs/>
          <w:i/>
        </w:rPr>
      </w:pPr>
      <w:r>
        <w:rPr>
          <w:rFonts w:cstheme="minorHAnsi"/>
          <w:b/>
          <w:bCs/>
          <w:i/>
          <w:u w:val="single"/>
        </w:rPr>
        <w:t xml:space="preserve">Administratieve overgangsmaatregelen </w:t>
      </w:r>
    </w:p>
    <w:p w:rsidR="00366217" w:rsidRDefault="00366217">
      <w:pPr>
        <w:pStyle w:val="Lijstalinea"/>
        <w:ind w:left="1429"/>
        <w:jc w:val="both"/>
        <w:rPr>
          <w:rFonts w:ascii="Calibri" w:eastAsia="Calibri" w:hAnsi="Calibri" w:cstheme="minorHAnsi"/>
          <w:i/>
        </w:rPr>
      </w:pPr>
    </w:p>
    <w:p w:rsidR="00366217" w:rsidRDefault="00FD1DB0">
      <w:pPr>
        <w:pStyle w:val="Lijstalinea"/>
        <w:numPr>
          <w:ilvl w:val="1"/>
          <w:numId w:val="18"/>
        </w:numPr>
        <w:jc w:val="both"/>
        <w:rPr>
          <w:rFonts w:cstheme="minorHAnsi"/>
          <w:i/>
        </w:rPr>
      </w:pPr>
      <w:r>
        <w:rPr>
          <w:rFonts w:cstheme="minorHAnsi"/>
          <w:i/>
        </w:rPr>
        <w:t>Bewegingen gestart VOOR of OP 30 april 2016 =  aanzuivering overeenkomstig huidige Code (Verordening n° 2913/92 en Verordening n° 2454/93).</w:t>
      </w:r>
    </w:p>
    <w:p w:rsidR="00366217" w:rsidRDefault="00FD1DB0">
      <w:pPr>
        <w:pStyle w:val="Lijstalinea"/>
        <w:numPr>
          <w:ilvl w:val="1"/>
          <w:numId w:val="18"/>
        </w:numPr>
        <w:jc w:val="both"/>
        <w:rPr>
          <w:rFonts w:cstheme="minorHAnsi"/>
          <w:i/>
        </w:rPr>
      </w:pPr>
      <w:r>
        <w:rPr>
          <w:rFonts w:cstheme="minorHAnsi"/>
          <w:i/>
        </w:rPr>
        <w:t>Huidige vergunningen (uitz. gebruik speciale verzegelingen) = voortgezet tot herbeoordeling. Herbeoordeling voor 1 mei 2019.</w:t>
      </w:r>
    </w:p>
    <w:p w:rsidR="00366217" w:rsidRDefault="00FD1DB0">
      <w:pPr>
        <w:pStyle w:val="Lijstalinea"/>
        <w:numPr>
          <w:ilvl w:val="1"/>
          <w:numId w:val="18"/>
        </w:numPr>
        <w:jc w:val="both"/>
        <w:rPr>
          <w:rFonts w:cstheme="minorHAnsi"/>
          <w:i/>
        </w:rPr>
      </w:pPr>
      <w:r>
        <w:rPr>
          <w:rFonts w:cstheme="minorHAnsi"/>
          <w:i/>
        </w:rPr>
        <w:t>Douanevervoer NA 1 mei 2016 = volgt regels UCC, zelfs indien onder “oude” vergunning.</w:t>
      </w:r>
    </w:p>
    <w:p w:rsidR="00366217" w:rsidRDefault="00FD1DB0">
      <w:pPr>
        <w:pStyle w:val="Lijstalinea"/>
        <w:numPr>
          <w:ilvl w:val="1"/>
          <w:numId w:val="18"/>
        </w:numPr>
        <w:jc w:val="both"/>
        <w:rPr>
          <w:rFonts w:cstheme="minorHAnsi"/>
          <w:i/>
        </w:rPr>
      </w:pPr>
      <w:r>
        <w:rPr>
          <w:rFonts w:cstheme="minorHAnsi"/>
          <w:i/>
        </w:rPr>
        <w:t>Oude stock verzegelingen = te gebruiken tot einde voorraad of 31 december 2018.</w:t>
      </w:r>
    </w:p>
    <w:p w:rsidR="00366217" w:rsidRDefault="00366217">
      <w:pPr>
        <w:suppressAutoHyphens w:val="0"/>
        <w:spacing w:after="0"/>
        <w:rPr>
          <w:rFonts w:ascii="Calibri" w:eastAsia="Calibri" w:hAnsi="Calibri" w:cstheme="minorHAnsi"/>
          <w:i/>
        </w:rPr>
      </w:pPr>
    </w:p>
    <w:p w:rsidR="00366217" w:rsidRDefault="00FD1DB0">
      <w:pPr>
        <w:pStyle w:val="Lijstalinea"/>
        <w:numPr>
          <w:ilvl w:val="0"/>
          <w:numId w:val="18"/>
        </w:numPr>
        <w:jc w:val="both"/>
        <w:rPr>
          <w:rFonts w:cstheme="minorHAnsi"/>
          <w:b/>
          <w:bCs/>
          <w:i/>
          <w:u w:val="single"/>
        </w:rPr>
      </w:pPr>
      <w:r>
        <w:rPr>
          <w:rFonts w:cstheme="minorHAnsi"/>
          <w:b/>
          <w:bCs/>
          <w:i/>
          <w:u w:val="single"/>
        </w:rPr>
        <w:t>Elektronische overgangsmaatregelen</w:t>
      </w:r>
    </w:p>
    <w:p w:rsidR="00366217" w:rsidRDefault="00FD1DB0">
      <w:pPr>
        <w:ind w:left="1080"/>
        <w:jc w:val="both"/>
        <w:rPr>
          <w:rFonts w:cstheme="minorHAnsi"/>
          <w:i/>
        </w:rPr>
      </w:pPr>
      <w:r>
        <w:rPr>
          <w:rFonts w:cstheme="minorHAnsi"/>
          <w:i/>
        </w:rPr>
        <w:t xml:space="preserve">UCC werkprogramma: NCTS update voorzien </w:t>
      </w:r>
      <w:r>
        <w:rPr>
          <w:rFonts w:cstheme="minorHAnsi"/>
          <w:b/>
          <w:bCs/>
          <w:i/>
          <w:u w:val="single"/>
        </w:rPr>
        <w:t>tussen oktober 2019 en maart 2020</w:t>
      </w:r>
      <w:r>
        <w:rPr>
          <w:rFonts w:cstheme="minorHAnsi"/>
          <w:i/>
        </w:rPr>
        <w:t>. Het bestaande systeem zal in overeenstemming gebracht worden met de nieuwe vereisten.</w:t>
      </w:r>
    </w:p>
    <w:p w:rsidR="00366217" w:rsidRDefault="00FD1DB0">
      <w:pPr>
        <w:pStyle w:val="Titretrois"/>
        <w:numPr>
          <w:ilvl w:val="2"/>
          <w:numId w:val="1"/>
        </w:numPr>
        <w:jc w:val="both"/>
        <w:rPr>
          <w:rFonts w:cstheme="minorHAnsi"/>
          <w:sz w:val="22"/>
          <w:szCs w:val="22"/>
        </w:rPr>
      </w:pPr>
      <w:bookmarkStart w:id="27" w:name="_Toc438135715"/>
      <w:bookmarkEnd w:id="27"/>
      <w:r>
        <w:rPr>
          <w:rFonts w:cstheme="minorHAnsi"/>
          <w:sz w:val="22"/>
          <w:szCs w:val="22"/>
        </w:rPr>
        <w:t>Douane-entrepots</w:t>
      </w:r>
    </w:p>
    <w:p w:rsidR="00366217" w:rsidRDefault="00FD1DB0">
      <w:pPr>
        <w:pStyle w:val="Lijstalinea"/>
        <w:numPr>
          <w:ilvl w:val="1"/>
          <w:numId w:val="19"/>
        </w:numPr>
        <w:ind w:left="1418"/>
        <w:jc w:val="both"/>
        <w:rPr>
          <w:rFonts w:cstheme="minorHAnsi"/>
        </w:rPr>
      </w:pPr>
      <w:r>
        <w:rPr>
          <w:rFonts w:cstheme="minorHAnsi"/>
        </w:rPr>
        <w:t>De verschillende soorten douane-entrepots onder UCC zijn :</w:t>
      </w:r>
    </w:p>
    <w:p w:rsidR="00366217" w:rsidRDefault="00FD1DB0">
      <w:pPr>
        <w:pStyle w:val="Lijstalinea"/>
        <w:numPr>
          <w:ilvl w:val="2"/>
          <w:numId w:val="19"/>
        </w:numPr>
        <w:jc w:val="both"/>
        <w:rPr>
          <w:rFonts w:cstheme="minorHAnsi"/>
          <w:lang w:val="fr-BE"/>
        </w:rPr>
      </w:pPr>
      <w:r>
        <w:rPr>
          <w:rFonts w:cstheme="minorHAnsi"/>
          <w:lang w:val="fr-BE"/>
        </w:rPr>
        <w:t>de publiek douane-entrepots type I, II en III en</w:t>
      </w:r>
    </w:p>
    <w:p w:rsidR="00366217" w:rsidRDefault="00FD1DB0">
      <w:pPr>
        <w:pStyle w:val="Lijstalinea"/>
        <w:numPr>
          <w:ilvl w:val="2"/>
          <w:numId w:val="19"/>
        </w:numPr>
        <w:jc w:val="both"/>
        <w:rPr>
          <w:rFonts w:cstheme="minorHAnsi"/>
          <w:lang w:val="fr-BE"/>
        </w:rPr>
      </w:pPr>
      <w:r>
        <w:rPr>
          <w:rFonts w:cstheme="minorHAnsi"/>
          <w:lang w:val="fr-BE"/>
        </w:rPr>
        <w:t>het particulier douane-entrepot.</w:t>
      </w:r>
    </w:p>
    <w:p w:rsidR="00366217" w:rsidRDefault="00FD1DB0">
      <w:pPr>
        <w:pStyle w:val="Lijstalinea"/>
        <w:numPr>
          <w:ilvl w:val="0"/>
          <w:numId w:val="19"/>
        </w:numPr>
        <w:jc w:val="both"/>
        <w:rPr>
          <w:rFonts w:cstheme="minorHAnsi"/>
        </w:rPr>
      </w:pPr>
      <w:r>
        <w:rPr>
          <w:rFonts w:cstheme="minorHAnsi"/>
        </w:rPr>
        <w:t xml:space="preserve">De verschillende types  van Douane-entrepot uit de huidige wetgeving zullen dus moeten worden ondergebracht onder de nieuwe types binnen UCC </w:t>
      </w:r>
    </w:p>
    <w:p w:rsidR="00366217" w:rsidRDefault="00FD1DB0">
      <w:pPr>
        <w:pStyle w:val="Lijstalinea"/>
        <w:numPr>
          <w:ilvl w:val="0"/>
          <w:numId w:val="20"/>
        </w:numPr>
        <w:jc w:val="both"/>
        <w:rPr>
          <w:rFonts w:cstheme="minorHAnsi"/>
          <w:lang w:val="en-US"/>
        </w:rPr>
      </w:pPr>
      <w:r>
        <w:rPr>
          <w:rFonts w:cstheme="minorHAnsi"/>
          <w:lang w:val="en-US"/>
        </w:rPr>
        <w:t>Publiek douane entrepot type I = oude douane entrepot type A.</w:t>
      </w:r>
    </w:p>
    <w:p w:rsidR="00366217" w:rsidRDefault="00FD1DB0">
      <w:pPr>
        <w:pStyle w:val="Lijstalinea"/>
        <w:numPr>
          <w:ilvl w:val="0"/>
          <w:numId w:val="20"/>
        </w:numPr>
        <w:jc w:val="both"/>
        <w:rPr>
          <w:rFonts w:cstheme="minorHAnsi"/>
          <w:lang w:val="fr-FR"/>
        </w:rPr>
      </w:pPr>
      <w:r>
        <w:rPr>
          <w:rFonts w:cstheme="minorHAnsi"/>
          <w:lang w:val="fr-FR"/>
        </w:rPr>
        <w:t>Publiek douane entrepot type II = oude douane entrepot type B.</w:t>
      </w:r>
    </w:p>
    <w:p w:rsidR="00366217" w:rsidRDefault="00FD1DB0">
      <w:pPr>
        <w:pStyle w:val="Lijstalinea"/>
        <w:numPr>
          <w:ilvl w:val="0"/>
          <w:numId w:val="20"/>
        </w:numPr>
        <w:jc w:val="both"/>
        <w:rPr>
          <w:rFonts w:cstheme="minorHAnsi"/>
        </w:rPr>
      </w:pPr>
      <w:r>
        <w:rPr>
          <w:rFonts w:cstheme="minorHAnsi"/>
        </w:rPr>
        <w:t>Publiek douane entrepot type III = douane-entrepot beheerd door de douaneautoriteiten. Vergelijkbaar met vroeger entrepot type F.</w:t>
      </w:r>
    </w:p>
    <w:p w:rsidR="00366217" w:rsidRDefault="00FD1DB0">
      <w:pPr>
        <w:pStyle w:val="Lijstalinea"/>
        <w:numPr>
          <w:ilvl w:val="0"/>
          <w:numId w:val="21"/>
        </w:numPr>
        <w:ind w:left="1418"/>
        <w:jc w:val="both"/>
        <w:rPr>
          <w:rFonts w:cstheme="minorHAnsi"/>
          <w:bCs/>
        </w:rPr>
      </w:pPr>
      <w:r>
        <w:rPr>
          <w:rFonts w:cstheme="minorHAnsi"/>
          <w:bCs/>
        </w:rPr>
        <w:t xml:space="preserve">De huidige types particulier entrepot verdwijnen en worden vervangen door één algemene categorie, met name het particulier entrepot. </w:t>
      </w:r>
    </w:p>
    <w:p w:rsidR="00366217" w:rsidRDefault="00FD1DB0">
      <w:pPr>
        <w:pStyle w:val="Lijstalinea"/>
        <w:numPr>
          <w:ilvl w:val="1"/>
          <w:numId w:val="21"/>
        </w:numPr>
        <w:shd w:val="clear" w:color="auto" w:fill="FFFFFF"/>
        <w:suppressAutoHyphens w:val="0"/>
        <w:spacing w:after="0" w:line="240" w:lineRule="auto"/>
        <w:rPr>
          <w:rFonts w:eastAsia="Times New Roman" w:cstheme="minorHAnsi"/>
          <w:bCs/>
          <w:lang w:eastAsia="nl-BE"/>
        </w:rPr>
      </w:pPr>
      <w:r>
        <w:rPr>
          <w:rFonts w:eastAsia="Times New Roman" w:cstheme="minorHAnsi"/>
          <w:bCs/>
          <w:lang w:eastAsia="nl-BE"/>
        </w:rPr>
        <w:t>Voor douane-entrepots type D en E met D procedures is het momenteel toegestaan om de douanewaarde te hanteren berekend op het moment van inslag in het douane-entrepot.</w:t>
      </w:r>
    </w:p>
    <w:p w:rsidR="00366217" w:rsidRDefault="00FD1DB0">
      <w:pPr>
        <w:pStyle w:val="Lijstalinea"/>
        <w:numPr>
          <w:ilvl w:val="0"/>
          <w:numId w:val="21"/>
        </w:numPr>
        <w:ind w:left="1418"/>
        <w:rPr>
          <w:rFonts w:cstheme="minorHAnsi"/>
          <w:bCs/>
        </w:rPr>
      </w:pPr>
      <w:r>
        <w:rPr>
          <w:rFonts w:cstheme="minorHAnsi"/>
          <w:bCs/>
        </w:rPr>
        <w:t xml:space="preserve"> Hierbij dient de aandacht te worden gevestigd op artikel 128, lid 2 IA. Daarin wordt bepaald: “Wanneer de goederen voor uitvoer naar het douanegebied van de Unie worden verkocht niet voordat zij dat douanegebied zijn binnengebracht, maar terwijl zij zich in tijdelijke opslag bevinden of onder een andere bijzondere regeling zijn geplaatst dan de regeling intern douanevervoer, bijzondere bestemming of passieve verdeling, wordt de transactiewaarde op basis van die verkoop vastgesteld”. Dit betekent  dat indien de goederen onder de regeling douane-entrepot  worden geplaatst zonder dat er een verkoop voor uitvoer naar de Unie is geweest ,  de transactiewaarde wordt bepaald op basis van de verkoop die tijdens de opslag plaats vond.  In principe zou het moeten de transactiewaarde van de laatste verkoop zijn. In de andere gevallen is de transactiewaarde deze zoals bepaald in artikel 128 lid 1, namelijk de  transactiewaarde op basis van de verkoop die onmiddellijk voordat de goederen het douanegebied zijn binnengebracht heeft plaatsgevonden. Deze regel geldt vanaf 1 mei 2016.</w:t>
      </w:r>
    </w:p>
    <w:p w:rsidR="00366217" w:rsidRDefault="00FD1DB0">
      <w:pPr>
        <w:pStyle w:val="Lijstalinea"/>
        <w:numPr>
          <w:ilvl w:val="0"/>
          <w:numId w:val="21"/>
        </w:numPr>
        <w:ind w:left="1418"/>
        <w:jc w:val="both"/>
        <w:rPr>
          <w:rFonts w:cstheme="minorHAnsi"/>
        </w:rPr>
      </w:pPr>
      <w:r>
        <w:rPr>
          <w:rFonts w:cstheme="minorHAnsi"/>
        </w:rPr>
        <w:t>Het gebruik van equivalente goederen is mogelijk onder de regeling douane-entrepot.</w:t>
      </w:r>
    </w:p>
    <w:p w:rsidR="00366217" w:rsidRDefault="00FD1DB0">
      <w:pPr>
        <w:pStyle w:val="Lijstalinea"/>
        <w:numPr>
          <w:ilvl w:val="0"/>
          <w:numId w:val="21"/>
        </w:numPr>
        <w:ind w:left="1418"/>
        <w:jc w:val="both"/>
        <w:rPr>
          <w:rFonts w:cstheme="minorHAnsi"/>
        </w:rPr>
      </w:pPr>
      <w:r>
        <w:rPr>
          <w:rFonts w:cstheme="minorHAnsi"/>
        </w:rPr>
        <w:t>Beweging van goederen binnen douane-entrepot mogelijk.</w:t>
      </w:r>
    </w:p>
    <w:p w:rsidR="00366217" w:rsidRDefault="00FD1DB0">
      <w:pPr>
        <w:pStyle w:val="Lijstalinea"/>
        <w:numPr>
          <w:ilvl w:val="0"/>
          <w:numId w:val="21"/>
        </w:numPr>
        <w:ind w:left="1418"/>
        <w:jc w:val="both"/>
        <w:rPr>
          <w:rFonts w:cstheme="minorHAnsi"/>
          <w:shd w:val="clear" w:color="auto" w:fill="FFFF00"/>
        </w:rPr>
      </w:pPr>
      <w:r>
        <w:rPr>
          <w:rFonts w:cstheme="minorHAnsi"/>
        </w:rPr>
        <w:t>Retail sales binnen douane-entrepot nu ook mogelijk door Internet, enz.</w:t>
      </w:r>
    </w:p>
    <w:p w:rsidR="00366217" w:rsidRDefault="00366217">
      <w:pPr>
        <w:jc w:val="both"/>
        <w:rPr>
          <w:rFonts w:ascii="Calibri" w:eastAsia="Calibri" w:hAnsi="Calibri" w:cstheme="minorHAnsi"/>
          <w:shd w:val="clear" w:color="auto" w:fill="FFFF00"/>
        </w:rPr>
      </w:pPr>
    </w:p>
    <w:p w:rsidR="00366217" w:rsidRDefault="00366217">
      <w:pPr>
        <w:jc w:val="both"/>
        <w:rPr>
          <w:rFonts w:ascii="Calibri" w:eastAsia="Calibri" w:hAnsi="Calibri" w:cstheme="minorHAnsi"/>
          <w:shd w:val="clear" w:color="auto" w:fill="FFFF00"/>
        </w:rPr>
      </w:pPr>
    </w:p>
    <w:p w:rsidR="00366217" w:rsidRDefault="00FD1DB0">
      <w:pPr>
        <w:ind w:left="1058"/>
        <w:jc w:val="both"/>
        <w:rPr>
          <w:rFonts w:cstheme="minorHAnsi"/>
          <w:b/>
          <w:bCs/>
          <w:i/>
          <w:color w:val="C0504D" w:themeColor="accent2"/>
          <w:u w:val="single"/>
        </w:rPr>
      </w:pPr>
      <w:r>
        <w:rPr>
          <w:rFonts w:cstheme="minorHAnsi"/>
          <w:b/>
          <w:bCs/>
          <w:i/>
          <w:color w:val="C0504D" w:themeColor="accent2"/>
          <w:u w:val="single"/>
        </w:rPr>
        <w:t>Overgangsmaatregelen</w:t>
      </w:r>
    </w:p>
    <w:p w:rsidR="00366217" w:rsidRDefault="00FD1DB0">
      <w:pPr>
        <w:ind w:left="1058"/>
        <w:jc w:val="both"/>
        <w:rPr>
          <w:rFonts w:cstheme="minorHAnsi"/>
          <w:i/>
        </w:rPr>
      </w:pPr>
      <w:r>
        <w:rPr>
          <w:rFonts w:cstheme="minorHAnsi"/>
          <w:i/>
        </w:rPr>
        <w:t>Goederen geplaatst in douane-entrepots type A, B, C, E en F voor  1 mei 2016 zullen aangezuiverd worden volgens de nieuwe voorwaarden onder UCC.</w:t>
      </w:r>
    </w:p>
    <w:p w:rsidR="00366217" w:rsidRDefault="00FD1DB0">
      <w:pPr>
        <w:ind w:left="1058"/>
        <w:jc w:val="both"/>
        <w:rPr>
          <w:rFonts w:cstheme="minorHAnsi"/>
          <w:i/>
        </w:rPr>
      </w:pPr>
      <w:r>
        <w:rPr>
          <w:rFonts w:cstheme="minorHAnsi"/>
          <w:i/>
        </w:rPr>
        <w:t>Goederen geplaatst in douane-entrepot type D voor 1 mei 2016 zullen worden aangezuiverd volgens oude regels CDW en dit tot en met 31 december 2018.</w:t>
      </w:r>
    </w:p>
    <w:p w:rsidR="00366217" w:rsidRDefault="00FD1DB0">
      <w:pPr>
        <w:ind w:left="1058"/>
        <w:jc w:val="both"/>
        <w:rPr>
          <w:rFonts w:cstheme="minorHAnsi"/>
          <w:i/>
        </w:rPr>
      </w:pPr>
      <w:r>
        <w:rPr>
          <w:rFonts w:cstheme="minorHAnsi"/>
          <w:i/>
        </w:rPr>
        <w:t>Herbeoordeling van de vergunningen douane-entrepot voor 1 mei 2019.</w:t>
      </w:r>
    </w:p>
    <w:p w:rsidR="00366217" w:rsidRDefault="00FD1DB0">
      <w:pPr>
        <w:ind w:left="1058"/>
        <w:jc w:val="both"/>
        <w:rPr>
          <w:rFonts w:cstheme="minorHAnsi"/>
          <w:i/>
        </w:rPr>
      </w:pPr>
      <w:r>
        <w:rPr>
          <w:rFonts w:cstheme="minorHAnsi"/>
          <w:i/>
        </w:rPr>
        <w:t>Het douane-entrepot types D en E met D procedures bestaan dus niet meer vanaf 1 mei 2016. Vanaf 1 mei 2016 worden deze vergunningen beschouwd als particuliere douane-entrepots. Voor de overige types douane-entrepot zal eerder enkel de benaming wijzigen, maar niet het onderliggend concept.</w:t>
      </w:r>
    </w:p>
    <w:p w:rsidR="00366217" w:rsidRDefault="00FD1DB0">
      <w:pPr>
        <w:ind w:left="1058"/>
        <w:jc w:val="both"/>
        <w:rPr>
          <w:rFonts w:cstheme="minorHAnsi"/>
          <w:i/>
        </w:rPr>
      </w:pPr>
      <w:r>
        <w:rPr>
          <w:rFonts w:cstheme="minorHAnsi"/>
          <w:i/>
        </w:rPr>
        <w:t xml:space="preserve">Dit heeft tot gevolg dat de aangifte voor plaatsing onder de regeling douane-entrepot, regeling K in de huidige vorm niet meer mogelijk zal zijn vanaf 1 mei 2016. Deze aangifte zal  dienen te worden vervangen door een  aangifte regeling J of door plaatsing onder de vorm van inschrijving in de administratie. </w:t>
      </w:r>
    </w:p>
    <w:p w:rsidR="00366217" w:rsidRDefault="00366217">
      <w:pPr>
        <w:pStyle w:val="Titretrois"/>
        <w:jc w:val="both"/>
        <w:rPr>
          <w:rFonts w:ascii="Calibri" w:eastAsia="Calibri" w:hAnsi="Calibri"/>
        </w:rPr>
      </w:pPr>
    </w:p>
    <w:p w:rsidR="00366217" w:rsidRDefault="00366217">
      <w:pPr>
        <w:pStyle w:val="Titretrois"/>
        <w:jc w:val="both"/>
        <w:rPr>
          <w:rFonts w:ascii="Calibri" w:eastAsia="Calibri" w:hAnsi="Calibri"/>
        </w:rPr>
      </w:pPr>
    </w:p>
    <w:p w:rsidR="00366217" w:rsidRDefault="00FD1DB0">
      <w:pPr>
        <w:pStyle w:val="Titretrois"/>
        <w:numPr>
          <w:ilvl w:val="2"/>
          <w:numId w:val="1"/>
        </w:numPr>
        <w:jc w:val="both"/>
        <w:rPr>
          <w:rFonts w:cstheme="minorHAnsi"/>
          <w:sz w:val="22"/>
          <w:szCs w:val="22"/>
        </w:rPr>
      </w:pPr>
      <w:bookmarkStart w:id="28" w:name="_Toc438135716"/>
      <w:bookmarkEnd w:id="28"/>
      <w:r>
        <w:rPr>
          <w:rFonts w:cstheme="minorHAnsi"/>
          <w:sz w:val="22"/>
          <w:szCs w:val="22"/>
        </w:rPr>
        <w:t>Actieve veredeling</w:t>
      </w:r>
    </w:p>
    <w:p w:rsidR="00366217" w:rsidRDefault="00FD1DB0">
      <w:pPr>
        <w:pStyle w:val="Lijstalinea"/>
        <w:numPr>
          <w:ilvl w:val="0"/>
          <w:numId w:val="21"/>
        </w:numPr>
        <w:ind w:left="1134"/>
        <w:jc w:val="both"/>
        <w:rPr>
          <w:rFonts w:cstheme="minorHAnsi"/>
        </w:rPr>
      </w:pPr>
      <w:r>
        <w:rPr>
          <w:rFonts w:cstheme="minorHAnsi"/>
        </w:rPr>
        <w:t>De regeling actieve veredeling terugbetalingssysteem verdwijnt.</w:t>
      </w:r>
    </w:p>
    <w:p w:rsidR="00366217" w:rsidRDefault="00FD1DB0">
      <w:pPr>
        <w:pStyle w:val="Lijstalinea"/>
        <w:numPr>
          <w:ilvl w:val="0"/>
          <w:numId w:val="21"/>
        </w:numPr>
        <w:ind w:left="1134"/>
        <w:jc w:val="both"/>
        <w:rPr>
          <w:rFonts w:cstheme="minorHAnsi"/>
        </w:rPr>
      </w:pPr>
      <w:r>
        <w:rPr>
          <w:rFonts w:cstheme="minorHAnsi"/>
        </w:rPr>
        <w:t>De regeling behandeling onder douanetoezicht verdwijnt.</w:t>
      </w:r>
    </w:p>
    <w:p w:rsidR="00366217" w:rsidRDefault="00FD1DB0">
      <w:pPr>
        <w:pStyle w:val="Lijstalinea"/>
        <w:numPr>
          <w:ilvl w:val="0"/>
          <w:numId w:val="21"/>
        </w:numPr>
        <w:ind w:left="1134"/>
        <w:jc w:val="both"/>
        <w:rPr>
          <w:rFonts w:cstheme="minorHAnsi"/>
        </w:rPr>
      </w:pPr>
      <w:r>
        <w:rPr>
          <w:rFonts w:cstheme="minorHAnsi"/>
        </w:rPr>
        <w:t xml:space="preserve">Dit wordt allemaal ondergebracht onder </w:t>
      </w:r>
      <w:r>
        <w:rPr>
          <w:rFonts w:cstheme="minorHAnsi"/>
          <w:bCs/>
        </w:rPr>
        <w:t>één regeling</w:t>
      </w:r>
      <w:r>
        <w:rPr>
          <w:rFonts w:cstheme="minorHAnsi"/>
        </w:rPr>
        <w:t xml:space="preserve">, die vergelijkbaar is met de huidige </w:t>
      </w:r>
      <w:r>
        <w:rPr>
          <w:rFonts w:cstheme="minorHAnsi"/>
          <w:bCs/>
        </w:rPr>
        <w:t>regeling actieve veredeling schorsingssysteem.</w:t>
      </w:r>
    </w:p>
    <w:p w:rsidR="00366217" w:rsidRDefault="00FD1DB0">
      <w:pPr>
        <w:pStyle w:val="Lijstalinea"/>
        <w:numPr>
          <w:ilvl w:val="0"/>
          <w:numId w:val="21"/>
        </w:numPr>
        <w:ind w:left="1134"/>
        <w:jc w:val="both"/>
        <w:rPr>
          <w:rFonts w:cstheme="minorHAnsi"/>
        </w:rPr>
      </w:pPr>
      <w:r>
        <w:rPr>
          <w:rFonts w:cstheme="minorHAnsi"/>
        </w:rPr>
        <w:t>De wederuitvoer van de “behandelde” producten is niet langer vereist als voorwaarde om gebruik te maken van de regeling actieve veredeling.</w:t>
      </w:r>
    </w:p>
    <w:p w:rsidR="00366217" w:rsidRDefault="00FD1DB0">
      <w:pPr>
        <w:pStyle w:val="Lijstalinea"/>
        <w:numPr>
          <w:ilvl w:val="0"/>
          <w:numId w:val="21"/>
        </w:numPr>
        <w:ind w:left="1134"/>
        <w:jc w:val="both"/>
        <w:rPr>
          <w:rFonts w:cstheme="minorHAnsi"/>
        </w:rPr>
      </w:pPr>
      <w:r>
        <w:rPr>
          <w:rFonts w:cstheme="minorHAnsi"/>
        </w:rPr>
        <w:t>Geen compenserende interest meer verschuldigd.</w:t>
      </w:r>
    </w:p>
    <w:p w:rsidR="00366217" w:rsidRDefault="00FD1DB0">
      <w:pPr>
        <w:pStyle w:val="Lijstalinea"/>
        <w:numPr>
          <w:ilvl w:val="0"/>
          <w:numId w:val="21"/>
        </w:numPr>
        <w:ind w:left="1134"/>
        <w:jc w:val="both"/>
        <w:rPr>
          <w:rFonts w:cstheme="minorHAnsi"/>
        </w:rPr>
      </w:pPr>
      <w:r>
        <w:rPr>
          <w:rFonts w:cstheme="minorHAnsi"/>
        </w:rPr>
        <w:t>Criteria van de economische voorwaarden.</w:t>
      </w:r>
    </w:p>
    <w:p w:rsidR="00366217" w:rsidRDefault="00FD1DB0">
      <w:pPr>
        <w:pStyle w:val="Lijstalinea"/>
        <w:numPr>
          <w:ilvl w:val="0"/>
          <w:numId w:val="21"/>
        </w:numPr>
        <w:ind w:left="1134"/>
        <w:jc w:val="both"/>
        <w:rPr>
          <w:rFonts w:cstheme="minorHAnsi"/>
        </w:rPr>
      </w:pPr>
      <w:r>
        <w:rPr>
          <w:rFonts w:cstheme="minorHAnsi"/>
        </w:rPr>
        <w:t>Gebruik equivalente goederen mogelijk maar in sommige gevallen wordt dit gelimiteerd (zie art. 169 §§ 2 en 5 DA).</w:t>
      </w:r>
    </w:p>
    <w:p w:rsidR="00366217" w:rsidRDefault="00FD1DB0">
      <w:pPr>
        <w:pStyle w:val="Lijstalinea"/>
        <w:numPr>
          <w:ilvl w:val="0"/>
          <w:numId w:val="21"/>
        </w:numPr>
        <w:ind w:left="1134"/>
        <w:jc w:val="both"/>
        <w:rPr>
          <w:rFonts w:cstheme="minorHAnsi"/>
        </w:rPr>
      </w:pPr>
      <w:r>
        <w:rPr>
          <w:rFonts w:cstheme="minorHAnsi"/>
        </w:rPr>
        <w:t>De globalisatie van de afrekeningen ter aanzuivering kan per semester gebeuren (art. 257, lid 2 UCC).</w:t>
      </w:r>
    </w:p>
    <w:p w:rsidR="00366217" w:rsidRDefault="00FD1DB0">
      <w:pPr>
        <w:pStyle w:val="Lijstalinea"/>
        <w:numPr>
          <w:ilvl w:val="0"/>
          <w:numId w:val="21"/>
        </w:numPr>
        <w:ind w:left="1134"/>
        <w:jc w:val="both"/>
        <w:rPr>
          <w:rFonts w:cstheme="minorHAnsi"/>
        </w:rPr>
      </w:pPr>
      <w:r>
        <w:rPr>
          <w:rFonts w:cstheme="minorHAnsi"/>
        </w:rPr>
        <w:t>Afschaffing van bepaalde aanzuiveringstermijnen of termijnen waarbinnen de niet-communautaire goederen voor de regeling moeten worden aangegeven (artikelen 542, lid 3 en 543, lid 2a CTW)</w:t>
      </w:r>
    </w:p>
    <w:p w:rsidR="00366217" w:rsidRDefault="00FD1DB0">
      <w:pPr>
        <w:pStyle w:val="Lijstalinea"/>
        <w:numPr>
          <w:ilvl w:val="0"/>
          <w:numId w:val="21"/>
        </w:numPr>
        <w:ind w:left="1134"/>
        <w:jc w:val="both"/>
        <w:rPr>
          <w:rFonts w:cstheme="minorHAnsi"/>
          <w:lang w:val="nl-NL"/>
        </w:rPr>
      </w:pPr>
      <w:r>
        <w:rPr>
          <w:rFonts w:cstheme="minorHAnsi"/>
        </w:rPr>
        <w:t xml:space="preserve">Constitutieve elementen met betrekking tot de douaneschuld worden aan keuze aangever overgelaten, met enkele uitzonderingen (artikelen 85 §1 en 86 §§ 3 en 4 UCC, 168 DA): </w:t>
      </w:r>
      <w:r>
        <w:rPr>
          <w:rFonts w:cstheme="minorHAnsi"/>
          <w:lang w:val="nl-NL"/>
        </w:rPr>
        <w:t>douaneschuld ontstaat op het moment van in het vrije verkeer brengen en niet op moment van plaatsing onder de regeling.</w:t>
      </w:r>
    </w:p>
    <w:p w:rsidR="00366217" w:rsidRDefault="00FD1DB0">
      <w:pPr>
        <w:rPr>
          <w:lang w:val="nl-NL"/>
        </w:rPr>
      </w:pPr>
      <w:r>
        <w:br w:type="page"/>
      </w:r>
    </w:p>
    <w:p w:rsidR="00366217" w:rsidRDefault="00FD1DB0">
      <w:pPr>
        <w:pStyle w:val="Titretrois"/>
        <w:numPr>
          <w:ilvl w:val="2"/>
          <w:numId w:val="1"/>
        </w:numPr>
        <w:jc w:val="both"/>
        <w:rPr>
          <w:rFonts w:cstheme="minorHAnsi"/>
          <w:sz w:val="22"/>
          <w:szCs w:val="22"/>
        </w:rPr>
      </w:pPr>
      <w:bookmarkStart w:id="29" w:name="_Toc438135717"/>
      <w:r>
        <w:rPr>
          <w:rFonts w:cstheme="minorHAnsi"/>
          <w:sz w:val="22"/>
          <w:szCs w:val="22"/>
        </w:rPr>
        <w:t>Passieve veredeling</w:t>
      </w:r>
      <w:bookmarkEnd w:id="29"/>
      <w:r>
        <w:rPr>
          <w:rFonts w:cstheme="minorHAnsi"/>
          <w:sz w:val="22"/>
          <w:szCs w:val="22"/>
        </w:rPr>
        <w:t xml:space="preserve"> </w:t>
      </w:r>
    </w:p>
    <w:p w:rsidR="00366217" w:rsidRDefault="00FD1DB0">
      <w:pPr>
        <w:pStyle w:val="Lijstalinea"/>
        <w:numPr>
          <w:ilvl w:val="0"/>
          <w:numId w:val="25"/>
        </w:numPr>
        <w:ind w:left="1134"/>
        <w:jc w:val="both"/>
        <w:rPr>
          <w:rFonts w:cstheme="minorHAnsi"/>
        </w:rPr>
      </w:pPr>
      <w:r>
        <w:rPr>
          <w:rFonts w:cstheme="minorHAnsi"/>
        </w:rPr>
        <w:t xml:space="preserve">De basisprincipes blijven onveranderd. </w:t>
      </w:r>
    </w:p>
    <w:p w:rsidR="00366217" w:rsidRDefault="00FD1DB0">
      <w:pPr>
        <w:pStyle w:val="Lijstalinea"/>
        <w:numPr>
          <w:ilvl w:val="0"/>
          <w:numId w:val="25"/>
        </w:numPr>
        <w:ind w:left="1134"/>
        <w:jc w:val="both"/>
        <w:rPr>
          <w:rFonts w:cstheme="minorHAnsi"/>
        </w:rPr>
      </w:pPr>
      <w:r>
        <w:rPr>
          <w:rFonts w:cstheme="minorHAnsi"/>
        </w:rPr>
        <w:t>De hoofdregel voor ontstaan van de douaneschuld: toegevoegde waarde. De veredelingskosten van buiten de EU vormen de basis van de douaneschuld.</w:t>
      </w:r>
    </w:p>
    <w:p w:rsidR="00366217" w:rsidRDefault="00FD1DB0">
      <w:pPr>
        <w:pStyle w:val="Lijstalinea"/>
        <w:numPr>
          <w:ilvl w:val="0"/>
          <w:numId w:val="25"/>
        </w:numPr>
        <w:ind w:left="1134"/>
        <w:jc w:val="both"/>
        <w:rPr>
          <w:rFonts w:cstheme="minorHAnsi"/>
        </w:rPr>
      </w:pPr>
      <w:r>
        <w:rPr>
          <w:rFonts w:cstheme="minorHAnsi"/>
        </w:rPr>
        <w:t>De methode die onder huidige CDW als basisregel wordt gebruikt, verdwijnt (verschil tussen rechten op uitgevoerde en ingevoerde goederen).</w:t>
      </w:r>
    </w:p>
    <w:p w:rsidR="00366217" w:rsidRDefault="00FD1DB0">
      <w:pPr>
        <w:pStyle w:val="Titretrois"/>
        <w:numPr>
          <w:ilvl w:val="2"/>
          <w:numId w:val="1"/>
        </w:numPr>
        <w:ind w:left="1134" w:hanging="360"/>
        <w:jc w:val="both"/>
        <w:rPr>
          <w:rFonts w:cstheme="minorHAnsi"/>
          <w:sz w:val="22"/>
          <w:szCs w:val="22"/>
        </w:rPr>
      </w:pPr>
      <w:bookmarkStart w:id="30" w:name="_Toc438135718"/>
      <w:bookmarkEnd w:id="30"/>
      <w:r>
        <w:rPr>
          <w:rFonts w:cstheme="minorHAnsi"/>
          <w:sz w:val="22"/>
          <w:szCs w:val="22"/>
        </w:rPr>
        <w:t>Tijdelijke invoer</w:t>
      </w:r>
    </w:p>
    <w:p w:rsidR="00366217" w:rsidRDefault="00FD1DB0">
      <w:pPr>
        <w:pStyle w:val="Lijstalinea"/>
        <w:numPr>
          <w:ilvl w:val="0"/>
          <w:numId w:val="25"/>
        </w:numPr>
        <w:ind w:left="1134"/>
        <w:jc w:val="both"/>
        <w:rPr>
          <w:rFonts w:cstheme="minorHAnsi"/>
        </w:rPr>
      </w:pPr>
      <w:r>
        <w:rPr>
          <w:rFonts w:cstheme="minorHAnsi"/>
        </w:rPr>
        <w:t>De basisprincipes en huidige 29 gevallen blijven bijna onveranderd.</w:t>
      </w:r>
      <w:r>
        <w:rPr>
          <w:rFonts w:cstheme="minorHAnsi"/>
          <w:shd w:val="clear" w:color="auto" w:fill="FFFF00"/>
        </w:rPr>
        <w:t xml:space="preserve"> </w:t>
      </w:r>
    </w:p>
    <w:p w:rsidR="00366217" w:rsidRDefault="00FD1DB0">
      <w:pPr>
        <w:pStyle w:val="Lijstalinea"/>
        <w:numPr>
          <w:ilvl w:val="0"/>
          <w:numId w:val="25"/>
        </w:numPr>
        <w:ind w:left="1134"/>
        <w:jc w:val="both"/>
        <w:rPr>
          <w:rFonts w:cstheme="minorHAnsi"/>
        </w:rPr>
      </w:pPr>
      <w:r>
        <w:rPr>
          <w:rFonts w:cstheme="minorHAnsi"/>
        </w:rPr>
        <w:t xml:space="preserve">De hoofdregel voor ontstaan van de douaneschuld ( berekend bij plaatsing onder de regeling) verandert: </w:t>
      </w:r>
      <w:r>
        <w:rPr>
          <w:rFonts w:cstheme="minorHAnsi"/>
          <w:lang w:val="nl-NL"/>
        </w:rPr>
        <w:t>douaneschuld zal berekend worden op het moment van de vrijgave voor het vrije verkeer.</w:t>
      </w:r>
    </w:p>
    <w:p w:rsidR="00366217" w:rsidRDefault="00FD1DB0">
      <w:pPr>
        <w:pStyle w:val="Lijstalinea"/>
        <w:numPr>
          <w:ilvl w:val="0"/>
          <w:numId w:val="25"/>
        </w:numPr>
        <w:ind w:left="1134"/>
        <w:jc w:val="both"/>
        <w:rPr>
          <w:rFonts w:cstheme="minorHAnsi"/>
          <w:shd w:val="clear" w:color="auto" w:fill="FFFF00"/>
          <w:lang w:val="fr-FR"/>
        </w:rPr>
      </w:pPr>
      <w:r>
        <w:rPr>
          <w:rFonts w:cstheme="minorHAnsi"/>
          <w:color w:val="222222"/>
          <w:lang w:val="fr-FR"/>
        </w:rPr>
        <w:t>Afschaffing compenserende interest.</w:t>
      </w:r>
    </w:p>
    <w:p w:rsidR="00366217" w:rsidRDefault="00FD1DB0">
      <w:pPr>
        <w:pStyle w:val="Lijstalinea"/>
        <w:numPr>
          <w:ilvl w:val="0"/>
          <w:numId w:val="25"/>
        </w:numPr>
        <w:ind w:left="1134"/>
        <w:jc w:val="both"/>
        <w:rPr>
          <w:rFonts w:cstheme="minorHAnsi"/>
        </w:rPr>
      </w:pPr>
      <w:r>
        <w:rPr>
          <w:rFonts w:cstheme="minorHAnsi"/>
        </w:rPr>
        <w:t>Desondanks gebruik van equivalente goederen mogelijk (223 2b UCC, 169.8 DA et 269 § 1 IA).</w:t>
      </w:r>
    </w:p>
    <w:p w:rsidR="00366217" w:rsidRDefault="00FD1DB0">
      <w:pPr>
        <w:suppressAutoHyphens w:val="0"/>
        <w:spacing w:after="0"/>
        <w:rPr>
          <w:rFonts w:cstheme="minorHAnsi"/>
          <w:b/>
          <w:bCs/>
          <w:i/>
          <w:color w:val="C0504D" w:themeColor="accent2"/>
          <w:u w:val="single"/>
        </w:rPr>
      </w:pPr>
      <w:r>
        <w:rPr>
          <w:rFonts w:cstheme="minorHAnsi"/>
        </w:rPr>
        <w:t xml:space="preserve">                   </w:t>
      </w:r>
      <w:r>
        <w:rPr>
          <w:rFonts w:cstheme="minorHAnsi"/>
          <w:b/>
          <w:bCs/>
          <w:i/>
          <w:color w:val="C0504D" w:themeColor="accent2"/>
          <w:u w:val="single"/>
        </w:rPr>
        <w:t>Overgangsmaatregelen voor T/DA/AV/PV/TI</w:t>
      </w:r>
    </w:p>
    <w:p w:rsidR="00366217" w:rsidRDefault="00366217">
      <w:pPr>
        <w:suppressAutoHyphens w:val="0"/>
        <w:spacing w:after="0"/>
        <w:rPr>
          <w:rFonts w:ascii="Calibri" w:eastAsia="Calibri" w:hAnsi="Calibri" w:cstheme="minorHAnsi"/>
        </w:rPr>
      </w:pPr>
    </w:p>
    <w:p w:rsidR="00366217" w:rsidRDefault="00FD1DB0">
      <w:pPr>
        <w:ind w:left="993"/>
        <w:jc w:val="both"/>
        <w:rPr>
          <w:rFonts w:cstheme="minorHAnsi"/>
          <w:i/>
        </w:rPr>
      </w:pPr>
      <w:r>
        <w:rPr>
          <w:rFonts w:cstheme="minorHAnsi"/>
          <w:i/>
        </w:rPr>
        <w:t>Vergunningen actieve veredeling terugbetalingssysteem en BOD uitgegeven VOOR 1 mei 2016 worden beschouwd als een vergunning actieve veredeling onder UCC criteria.</w:t>
      </w:r>
    </w:p>
    <w:p w:rsidR="00366217" w:rsidRDefault="00FD1DB0">
      <w:pPr>
        <w:ind w:left="993"/>
        <w:jc w:val="both"/>
        <w:rPr>
          <w:rFonts w:cstheme="minorHAnsi"/>
          <w:i/>
          <w:lang w:val="nl-NL"/>
        </w:rPr>
      </w:pPr>
      <w:r>
        <w:rPr>
          <w:rFonts w:cstheme="minorHAnsi"/>
          <w:i/>
          <w:lang w:val="nl-NL"/>
        </w:rPr>
        <w:t>De huidige vergunningen blijven geldig tot het einde van hun geldigheidsperiode OF 1 mei 2019, hetgeen eerst komt.</w:t>
      </w:r>
    </w:p>
    <w:p w:rsidR="00366217" w:rsidRDefault="00FD1DB0">
      <w:pPr>
        <w:ind w:left="993"/>
        <w:jc w:val="both"/>
        <w:rPr>
          <w:rFonts w:cstheme="minorHAnsi"/>
          <w:i/>
          <w:lang w:val="nl-NL"/>
        </w:rPr>
      </w:pPr>
      <w:r>
        <w:rPr>
          <w:rFonts w:cstheme="minorHAnsi"/>
          <w:i/>
          <w:lang w:val="nl-NL"/>
        </w:rPr>
        <w:t>Dit is geldig voor de plaatsing van goederen onder de regeling (van actieve veredeling) vanaf 01/05/2016.</w:t>
      </w:r>
    </w:p>
    <w:p w:rsidR="00366217" w:rsidRDefault="00FD1DB0">
      <w:pPr>
        <w:ind w:left="993"/>
        <w:jc w:val="both"/>
        <w:rPr>
          <w:i/>
        </w:rPr>
      </w:pPr>
      <w:r>
        <w:rPr>
          <w:rFonts w:cstheme="minorHAnsi"/>
          <w:i/>
          <w:lang w:val="nl-NL"/>
        </w:rPr>
        <w:t>Dit is ook geldig voor de aanzuivering van de regeling, als gevolg van de plaatsing onder een van de regelingen waarnaar wordt verwezen in artikel 349 §1UCC IA (</w:t>
      </w:r>
      <w:r>
        <w:rPr>
          <w:i/>
        </w:rPr>
        <w:t>bijzondere bestemming, douane-entrepot van het type A/ B/ C/ E/F, actieve veredeling in de vorm van het schorsingssysteem en behandeling onder douanetoezicht)</w:t>
      </w:r>
    </w:p>
    <w:p w:rsidR="00366217" w:rsidRDefault="00FD1DB0">
      <w:pPr>
        <w:ind w:left="993"/>
        <w:jc w:val="both"/>
        <w:rPr>
          <w:rFonts w:cstheme="minorHAnsi"/>
          <w:i/>
          <w:lang w:val="nl-NL"/>
        </w:rPr>
      </w:pPr>
      <w:r>
        <w:rPr>
          <w:rFonts w:cstheme="minorHAnsi"/>
          <w:i/>
        </w:rPr>
        <w:t>Daarentegen</w:t>
      </w:r>
      <w:r>
        <w:rPr>
          <w:rFonts w:cstheme="minorHAnsi"/>
          <w:i/>
          <w:lang w:val="nl-NL"/>
        </w:rPr>
        <w:t>, als de goederen werden geplaatst onder de regelingen waarnaar wordt verwezen in artikel 349 §2 voordat 01/05/2016 (Douane entrepot van het type D, tijdelijk invoer, actieve veredeling in de vorm van het terugbetalingssysteem en de passieve veredeling) wordt de regeling aangezuiverd overeenkomstig de bepalingen van het huidige Communautaire Douanewetboek.</w:t>
      </w:r>
    </w:p>
    <w:p w:rsidR="00366217" w:rsidRDefault="00FD1DB0">
      <w:pPr>
        <w:ind w:left="993"/>
        <w:jc w:val="both"/>
        <w:rPr>
          <w:rFonts w:cstheme="minorHAnsi"/>
          <w:i/>
          <w:u w:val="single"/>
        </w:rPr>
      </w:pPr>
      <w:r>
        <w:rPr>
          <w:rFonts w:cstheme="minorHAnsi"/>
          <w:i/>
        </w:rPr>
        <w:t xml:space="preserve">Het gebruik van elektronische inlichtingsbladen (INF) voor bijzondere regelingen is voorzien </w:t>
      </w:r>
      <w:r>
        <w:rPr>
          <w:rFonts w:cstheme="minorHAnsi"/>
          <w:b/>
          <w:bCs/>
          <w:i/>
          <w:u w:val="single"/>
        </w:rPr>
        <w:t>voor maart 2020</w:t>
      </w:r>
      <w:r>
        <w:rPr>
          <w:rFonts w:cstheme="minorHAnsi"/>
          <w:i/>
          <w:u w:val="single"/>
        </w:rPr>
        <w:t xml:space="preserve">. </w:t>
      </w:r>
    </w:p>
    <w:p w:rsidR="00366217" w:rsidRDefault="00FD1DB0">
      <w:r>
        <w:br w:type="page"/>
      </w:r>
    </w:p>
    <w:p w:rsidR="00366217" w:rsidRDefault="00366217">
      <w:pPr>
        <w:ind w:left="993"/>
        <w:jc w:val="both"/>
        <w:rPr>
          <w:rFonts w:ascii="Calibri" w:eastAsia="Calibri" w:hAnsi="Calibri" w:cstheme="minorHAnsi"/>
          <w:i/>
        </w:rPr>
      </w:pPr>
    </w:p>
    <w:p w:rsidR="00366217" w:rsidRDefault="00FD1DB0">
      <w:pPr>
        <w:ind w:left="993"/>
        <w:jc w:val="both"/>
        <w:rPr>
          <w:rFonts w:cstheme="minorHAnsi"/>
          <w:i/>
        </w:rPr>
      </w:pPr>
      <w:r>
        <w:rPr>
          <w:rFonts w:cstheme="minorHAnsi"/>
          <w:i/>
        </w:rPr>
        <w:t>Het project Bijzondere Regelingen wordt opgesplitst in twee componenten:</w:t>
      </w:r>
    </w:p>
    <w:p w:rsidR="00366217" w:rsidRDefault="00FD1DB0">
      <w:pPr>
        <w:pStyle w:val="Lijstalinea"/>
        <w:numPr>
          <w:ilvl w:val="2"/>
          <w:numId w:val="32"/>
        </w:numPr>
        <w:ind w:left="2268" w:hanging="425"/>
        <w:jc w:val="both"/>
        <w:rPr>
          <w:rFonts w:cstheme="minorHAnsi"/>
          <w:i/>
        </w:rPr>
      </w:pPr>
      <w:r>
        <w:rPr>
          <w:rFonts w:cstheme="minorHAnsi"/>
          <w:i/>
        </w:rPr>
        <w:t xml:space="preserve">de eerste, op activiteiten van de bijzondere regelingen gerelateerd zijn aan export en wordt uitgerold </w:t>
      </w:r>
      <w:r>
        <w:rPr>
          <w:rFonts w:cstheme="minorHAnsi"/>
          <w:b/>
          <w:bCs/>
          <w:i/>
          <w:u w:val="single"/>
        </w:rPr>
        <w:t>tussen maart 2017 en maart 2020</w:t>
      </w:r>
      <w:r>
        <w:rPr>
          <w:rFonts w:cstheme="minorHAnsi"/>
          <w:i/>
          <w:u w:val="single"/>
        </w:rPr>
        <w:t xml:space="preserve"> ;</w:t>
      </w:r>
    </w:p>
    <w:p w:rsidR="00366217" w:rsidRDefault="00FD1DB0">
      <w:pPr>
        <w:pStyle w:val="Lijstalinea"/>
        <w:numPr>
          <w:ilvl w:val="2"/>
          <w:numId w:val="32"/>
        </w:numPr>
        <w:ind w:left="2268" w:hanging="425"/>
        <w:jc w:val="both"/>
        <w:rPr>
          <w:rFonts w:cstheme="minorHAnsi"/>
          <w:i/>
        </w:rPr>
      </w:pPr>
      <w:r>
        <w:rPr>
          <w:rFonts w:cstheme="minorHAnsi"/>
          <w:i/>
        </w:rPr>
        <w:t xml:space="preserve">de tweede, gerelateerd aan import wordt uitgerold </w:t>
      </w:r>
      <w:r>
        <w:rPr>
          <w:rFonts w:cstheme="minorHAnsi"/>
          <w:b/>
          <w:bCs/>
          <w:i/>
          <w:u w:val="single"/>
        </w:rPr>
        <w:t>volgens nationaal plan van de lidstaten</w:t>
      </w:r>
      <w:r>
        <w:rPr>
          <w:rFonts w:cstheme="minorHAnsi"/>
          <w:i/>
        </w:rPr>
        <w:t>.</w:t>
      </w:r>
    </w:p>
    <w:p w:rsidR="00366217" w:rsidRDefault="00FD1DB0">
      <w:pPr>
        <w:ind w:left="993"/>
        <w:jc w:val="both"/>
        <w:rPr>
          <w:rFonts w:cstheme="minorHAnsi"/>
          <w:i/>
        </w:rPr>
      </w:pPr>
      <w:r>
        <w:rPr>
          <w:rFonts w:cstheme="minorHAnsi"/>
          <w:i/>
        </w:rPr>
        <w:t>Tot dan formulieren en vergunningen te gebruiken zoals opgenomen in bijlagen aan TDA.(d.w.z. huidige formulieren en modellen van vergunningen soms aangepast)</w:t>
      </w:r>
    </w:p>
    <w:p w:rsidR="00366217" w:rsidRDefault="00366217">
      <w:pPr>
        <w:ind w:left="993"/>
        <w:jc w:val="both"/>
        <w:rPr>
          <w:rFonts w:ascii="Calibri" w:eastAsia="Calibri" w:hAnsi="Calibri" w:cstheme="minorHAnsi"/>
          <w:i/>
        </w:rPr>
      </w:pPr>
    </w:p>
    <w:p w:rsidR="00366217" w:rsidRDefault="00FD1DB0">
      <w:pPr>
        <w:ind w:left="708"/>
        <w:jc w:val="both"/>
        <w:rPr>
          <w:rFonts w:cstheme="minorHAnsi"/>
          <w:i/>
          <w:iCs/>
          <w:u w:val="single"/>
        </w:rPr>
      </w:pPr>
      <w:r>
        <w:rPr>
          <w:rFonts w:cstheme="minorHAnsi"/>
          <w:i/>
          <w:iCs/>
        </w:rPr>
        <w:t>Overeenkomstig artikel 278 van het UCC, kunnen de middelen voor uitwisseling en opslag van informatie, ander dan elektronische technieken voor gegevensverwerking, worden gebruikt bij wijze van overgangsmaatregel tot uiterlijk 31 december 2020, wanneer de noodzakelijke elektronische systemen nog niet operationeel zijn voor de toepassing van de bepalingen van het wetboek.</w:t>
      </w:r>
    </w:p>
    <w:p w:rsidR="00366217" w:rsidRDefault="00FD1DB0">
      <w:pPr>
        <w:ind w:left="708"/>
        <w:rPr>
          <w:i/>
          <w:iCs/>
        </w:rPr>
      </w:pPr>
      <w:r>
        <w:rPr>
          <w:i/>
          <w:iCs/>
        </w:rPr>
        <w:t>Deze bepalingen bevinden zich in de IA of TDA,  waardoor enkele bepalingen met betrekking tot de elektronische systemen niet van toepassing zijn op 1 mei 2016 voor de bijzondere regelingen.</w:t>
      </w:r>
    </w:p>
    <w:p w:rsidR="00366217" w:rsidRDefault="00FD1DB0">
      <w:pPr>
        <w:ind w:firstLine="708"/>
        <w:rPr>
          <w:i/>
          <w:iCs/>
        </w:rPr>
      </w:pPr>
      <w:r>
        <w:rPr>
          <w:i/>
          <w:iCs/>
        </w:rPr>
        <w:t>Concreet, gaat het :</w:t>
      </w:r>
    </w:p>
    <w:p w:rsidR="00366217" w:rsidRDefault="00FD1DB0">
      <w:pPr>
        <w:ind w:left="708"/>
        <w:rPr>
          <w:i/>
          <w:iCs/>
        </w:rPr>
      </w:pPr>
      <w:r>
        <w:rPr>
          <w:i/>
          <w:iCs/>
        </w:rPr>
        <w:t>- om artikelen 2 TDA (Aanvragen en beslissingen), 3 TDA (Middelen voor uitwisseling en opslag van informatie), 14 TDA (plaatsing onder de regeling van goederen – middelen van gegevensuitwisseling) en 22 TDA (Formulier voor de aanvragen en vergunningen met betrekking tot de bijzondere regelingen)</w:t>
      </w:r>
    </w:p>
    <w:p w:rsidR="00366217" w:rsidRDefault="00FD1DB0">
      <w:pPr>
        <w:ind w:left="708"/>
        <w:rPr>
          <w:i/>
          <w:iCs/>
        </w:rPr>
      </w:pPr>
      <w:r>
        <w:rPr>
          <w:i/>
          <w:iCs/>
        </w:rPr>
        <w:t>Dit heeft betrekking op de formulieren voor de aanvraag en de vergunning, alsook de uitwisseling tussen de Lidstaten.</w:t>
      </w:r>
    </w:p>
    <w:p w:rsidR="00366217" w:rsidRDefault="00FD1DB0">
      <w:pPr>
        <w:ind w:left="708"/>
        <w:rPr>
          <w:i/>
          <w:iCs/>
        </w:rPr>
      </w:pPr>
      <w:r>
        <w:rPr>
          <w:i/>
          <w:iCs/>
        </w:rPr>
        <w:t>Op 1 mei 2016 verandert er niets, men gebruikt bijlage 12 TDA (ex-bijlage 67) tot de invoering van een besluitvormingssysteem van de douane (02/10/2017).</w:t>
      </w:r>
    </w:p>
    <w:p w:rsidR="00366217" w:rsidRDefault="00FD1DB0">
      <w:pPr>
        <w:ind w:left="708"/>
        <w:rPr>
          <w:i/>
          <w:iCs/>
        </w:rPr>
      </w:pPr>
      <w:r>
        <w:rPr>
          <w:i/>
          <w:iCs/>
        </w:rPr>
        <w:t>- om artikel 23 TDA (Gebruiksmiddelen voor een gestandaardiseerde uitwisseling van informatie). Het betreft de elektronische inlichtingenbladen INF.</w:t>
      </w:r>
    </w:p>
    <w:p w:rsidR="00366217" w:rsidRDefault="00FD1DB0">
      <w:pPr>
        <w:ind w:left="708"/>
        <w:rPr>
          <w:i/>
          <w:iCs/>
        </w:rPr>
      </w:pPr>
      <w:r>
        <w:rPr>
          <w:i/>
          <w:iCs/>
        </w:rPr>
        <w:t>Bij deze verandert er op 1 mei 2016 ook niets. Men gebruikt bijlage 13 TDA (ex-bijlage 71) tot de invoering van een systeem met betrekking tot de inlichtingenbladen (INF) voor de bijzondere regelingen in het kader van het UCC (01/10/2019).</w:t>
      </w:r>
    </w:p>
    <w:p w:rsidR="00366217" w:rsidRDefault="00FD1DB0">
      <w:pPr>
        <w:ind w:left="708"/>
        <w:rPr>
          <w:i/>
          <w:iCs/>
        </w:rPr>
      </w:pPr>
      <w:r>
        <w:rPr>
          <w:i/>
          <w:iCs/>
        </w:rPr>
        <w:t>Op grond van het artikel 55, 1) punt 18 TDA, zijn de bepalingen van de artikelen 181 DA en 271 IA met betrekking tot het systeem van e-INF van toepassing via bijlage 13 TDA.</w:t>
      </w:r>
    </w:p>
    <w:p w:rsidR="00366217" w:rsidRDefault="00FD1DB0">
      <w:pPr>
        <w:ind w:firstLine="708"/>
        <w:rPr>
          <w:i/>
          <w:iCs/>
        </w:rPr>
      </w:pPr>
      <w:r>
        <w:rPr>
          <w:i/>
          <w:iCs/>
        </w:rPr>
        <w:t>- om artikel 260 IA (Consultatieperiode tussen douaneautoriteiten).</w:t>
      </w:r>
    </w:p>
    <w:p w:rsidR="00366217" w:rsidRDefault="00FD1DB0">
      <w:pPr>
        <w:ind w:left="708"/>
        <w:rPr>
          <w:i/>
          <w:iCs/>
        </w:rPr>
      </w:pPr>
      <w:r>
        <w:rPr>
          <w:i/>
          <w:iCs/>
        </w:rPr>
        <w:t>Men refereert naar artikel 10 IA (Informatiesystemen met betrekking tot beslissingen), waarin vermeld wordt in paragraaf 3 dat men wacht op de invoering van een douane besluitvormingssysteem, en tot dan, doet men verder zoals vandaag.</w:t>
      </w:r>
    </w:p>
    <w:p w:rsidR="00366217" w:rsidRDefault="00FD1DB0">
      <w:pPr>
        <w:ind w:firstLine="708"/>
        <w:rPr>
          <w:i/>
          <w:iCs/>
        </w:rPr>
      </w:pPr>
      <w:r>
        <w:rPr>
          <w:i/>
          <w:iCs/>
        </w:rPr>
        <w:t>- om het artikel 270 IA ( Informatiesysteem met betrekking tot de carnet e-ATA) .</w:t>
      </w:r>
    </w:p>
    <w:p w:rsidR="00366217" w:rsidRDefault="00FD1DB0">
      <w:pPr>
        <w:ind w:left="708"/>
        <w:rPr>
          <w:i/>
          <w:iCs/>
        </w:rPr>
      </w:pPr>
      <w:r>
        <w:rPr>
          <w:i/>
          <w:iCs/>
        </w:rPr>
        <w:t>Men verwacht dat er zal moeten gebruikgemaakt worden van de carnet e-ATA wanneer men onder de voorwaarden van artikel 21a van de Conventie van Istanbul valt, d.w.z. de overeenkomsten tussen verdragsluitende partijen in werking te laten treden, die tot nu toe niet bestaan. Deze e-ATA hoeft niet elke actie Ms vandaag: dit e - ATA project wordt beheerd door de Europese Commissie samen met de WDO.</w:t>
      </w:r>
    </w:p>
    <w:p w:rsidR="00366217" w:rsidRDefault="00FD1DB0">
      <w:pPr>
        <w:ind w:firstLine="708"/>
        <w:rPr>
          <w:rFonts w:cstheme="minorHAnsi"/>
        </w:rPr>
      </w:pPr>
      <w:r>
        <w:rPr>
          <w:i/>
          <w:iCs/>
        </w:rPr>
        <w:t>Dit artikel is dus nog niet van toepassing op 1 mei 2016.</w:t>
      </w:r>
    </w:p>
    <w:p w:rsidR="00366217" w:rsidRDefault="00FD1DB0">
      <w:pPr>
        <w:pStyle w:val="Titretrois"/>
        <w:numPr>
          <w:ilvl w:val="2"/>
          <w:numId w:val="1"/>
        </w:numPr>
        <w:jc w:val="both"/>
        <w:rPr>
          <w:rFonts w:cstheme="minorHAnsi"/>
          <w:sz w:val="22"/>
          <w:szCs w:val="22"/>
        </w:rPr>
      </w:pPr>
      <w:bookmarkStart w:id="31" w:name="_Toc438135719"/>
      <w:bookmarkEnd w:id="31"/>
      <w:r>
        <w:rPr>
          <w:rFonts w:cstheme="minorHAnsi"/>
          <w:sz w:val="22"/>
          <w:szCs w:val="22"/>
        </w:rPr>
        <w:t>Bijzondere bestemming</w:t>
      </w:r>
    </w:p>
    <w:p w:rsidR="00366217" w:rsidRDefault="00FD1DB0">
      <w:pPr>
        <w:pStyle w:val="Lijstalinea"/>
        <w:numPr>
          <w:ilvl w:val="0"/>
          <w:numId w:val="24"/>
        </w:numPr>
        <w:jc w:val="both"/>
        <w:rPr>
          <w:rFonts w:cstheme="minorHAnsi"/>
        </w:rPr>
      </w:pPr>
      <w:r>
        <w:rPr>
          <w:rFonts w:cstheme="minorHAnsi"/>
        </w:rPr>
        <w:t>De basisprincipes blijven onveranderd.</w:t>
      </w:r>
    </w:p>
    <w:p w:rsidR="00366217" w:rsidRDefault="00FD1DB0">
      <w:pPr>
        <w:pStyle w:val="Lijstalinea"/>
        <w:numPr>
          <w:ilvl w:val="0"/>
          <w:numId w:val="24"/>
        </w:numPr>
        <w:jc w:val="both"/>
        <w:rPr>
          <w:rFonts w:cstheme="minorHAnsi"/>
        </w:rPr>
      </w:pPr>
      <w:r>
        <w:rPr>
          <w:rFonts w:cstheme="minorHAnsi"/>
        </w:rPr>
        <w:t>De regeling dient aangezuiverd te worden onder UCC</w:t>
      </w:r>
    </w:p>
    <w:p w:rsidR="00366217" w:rsidRDefault="00FD1DB0">
      <w:pPr>
        <w:pStyle w:val="Lijstalinea"/>
        <w:numPr>
          <w:ilvl w:val="0"/>
          <w:numId w:val="24"/>
        </w:numPr>
        <w:jc w:val="both"/>
        <w:rPr>
          <w:rFonts w:cstheme="minorHAnsi"/>
        </w:rPr>
      </w:pPr>
      <w:r>
        <w:rPr>
          <w:rFonts w:cstheme="minorHAnsi"/>
        </w:rPr>
        <w:t xml:space="preserve">Goederen die worden geëxporteerd onder de regeling bijzondere bestemming, worden vervoerd onder de regeling uitvoer en blijven onder de regeling totdat ze de Unie hebben verlaten </w:t>
      </w:r>
    </w:p>
    <w:p w:rsidR="00366217" w:rsidRDefault="00FD1DB0">
      <w:pPr>
        <w:pStyle w:val="Lijstalinea"/>
        <w:numPr>
          <w:ilvl w:val="0"/>
          <w:numId w:val="24"/>
        </w:numPr>
        <w:jc w:val="both"/>
        <w:rPr>
          <w:rFonts w:cstheme="minorHAnsi"/>
        </w:rPr>
      </w:pPr>
      <w:r>
        <w:rPr>
          <w:rFonts w:cstheme="minorHAnsi"/>
          <w:lang w:val="nl-NL"/>
        </w:rPr>
        <w:t>Verplichting tot indienen van een aanzuiveringsafrekening (DA 175§1)</w:t>
      </w:r>
    </w:p>
    <w:p w:rsidR="00366217" w:rsidRDefault="00FD1DB0">
      <w:pPr>
        <w:pStyle w:val="Lijstalinea"/>
        <w:numPr>
          <w:ilvl w:val="0"/>
          <w:numId w:val="24"/>
        </w:numPr>
      </w:pPr>
      <w:r>
        <w:rPr>
          <w:rStyle w:val="mt-translation-content"/>
        </w:rPr>
        <w:t>De T5 wordt niet langer gebruikt als een controleformulier voor de overdracht van rechten en plichten. De overdracht zal gecontroleerd worden aan de hand van de administratie van de vergunninghouder. De douaneautoriteiten kunnen de voorwaarden, eventueel in overleg met de operator,  omschrijven zodat deze aanvaardbaar zijn voor deze transfer.</w:t>
      </w:r>
    </w:p>
    <w:p w:rsidR="00366217" w:rsidRDefault="00FD1DB0">
      <w:pPr>
        <w:pStyle w:val="Titredeux"/>
        <w:numPr>
          <w:ilvl w:val="1"/>
          <w:numId w:val="1"/>
        </w:numPr>
        <w:jc w:val="both"/>
        <w:rPr>
          <w:rFonts w:cstheme="minorHAnsi"/>
        </w:rPr>
      </w:pPr>
      <w:bookmarkStart w:id="32" w:name="_Toc438135720"/>
      <w:bookmarkEnd w:id="32"/>
      <w:r>
        <w:rPr>
          <w:rFonts w:cstheme="minorHAnsi"/>
        </w:rPr>
        <w:t>Titel VIII: Goederen die het douanegebied van de Unie verlaten.</w:t>
      </w:r>
    </w:p>
    <w:p w:rsidR="00366217" w:rsidRDefault="00FD1DB0">
      <w:pPr>
        <w:pStyle w:val="Lijstalinea"/>
        <w:jc w:val="both"/>
        <w:rPr>
          <w:rFonts w:cstheme="minorHAnsi"/>
          <w:b/>
        </w:rPr>
      </w:pPr>
      <w:r>
        <w:rPr>
          <w:rFonts w:cstheme="minorHAnsi"/>
          <w:b/>
        </w:rPr>
        <w:t>Enkele algemeenheden met betrekking tot uitvoer</w:t>
      </w:r>
    </w:p>
    <w:p w:rsidR="00366217" w:rsidRDefault="00FD1DB0">
      <w:pPr>
        <w:pStyle w:val="Lijstalinea"/>
        <w:jc w:val="both"/>
        <w:rPr>
          <w:rFonts w:cstheme="minorHAnsi"/>
        </w:rPr>
      </w:pPr>
      <w:r>
        <w:rPr>
          <w:rFonts w:cstheme="minorHAnsi"/>
        </w:rPr>
        <w:t xml:space="preserve"> </w:t>
      </w:r>
    </w:p>
    <w:p w:rsidR="00366217" w:rsidRDefault="00FD1DB0">
      <w:pPr>
        <w:pStyle w:val="Lijstalinea"/>
        <w:numPr>
          <w:ilvl w:val="0"/>
          <w:numId w:val="22"/>
        </w:numPr>
        <w:jc w:val="both"/>
        <w:rPr>
          <w:rFonts w:cstheme="minorHAnsi"/>
        </w:rPr>
      </w:pPr>
      <w:r>
        <w:rPr>
          <w:rFonts w:cstheme="minorHAnsi"/>
        </w:rPr>
        <w:t>Behoud gebruik Single Transport Contract. Wel enkele uitsluitingen voorzien.</w:t>
      </w:r>
    </w:p>
    <w:p w:rsidR="00366217" w:rsidRDefault="00FD1DB0">
      <w:pPr>
        <w:pStyle w:val="Lijstalinea"/>
        <w:numPr>
          <w:ilvl w:val="0"/>
          <w:numId w:val="22"/>
        </w:numPr>
        <w:jc w:val="both"/>
        <w:rPr>
          <w:rFonts w:cstheme="minorHAnsi"/>
        </w:rPr>
      </w:pPr>
      <w:r>
        <w:rPr>
          <w:rFonts w:cstheme="minorHAnsi"/>
        </w:rPr>
        <w:t>Een papieren versie van het uitvoerbegeleidingsdocument niet langer aan te bieden bij kantoor van uitgang, enkel mededeling MRN nodig.</w:t>
      </w:r>
    </w:p>
    <w:p w:rsidR="00366217" w:rsidRDefault="00FD1DB0">
      <w:pPr>
        <w:pStyle w:val="Lijstalinea"/>
        <w:numPr>
          <w:ilvl w:val="0"/>
          <w:numId w:val="22"/>
        </w:numPr>
        <w:jc w:val="both"/>
        <w:rPr>
          <w:rFonts w:cstheme="minorHAnsi"/>
        </w:rPr>
      </w:pPr>
      <w:r>
        <w:rPr>
          <w:rFonts w:cstheme="minorHAnsi"/>
        </w:rPr>
        <w:t xml:space="preserve">Uitvoer waarbij ook een transitbeweging vereist is: goederen geplaatst onder de regeling extern douanevervoer. Het douanekantoor van uitgang = douanekantoor van vertrek regeling douanevervoer. Uitgang = bij plaatsing onder regeling extern douanevervoer. </w:t>
      </w:r>
    </w:p>
    <w:p w:rsidR="00366217" w:rsidRDefault="00FD1DB0">
      <w:pPr>
        <w:pStyle w:val="Lijstalinea"/>
        <w:numPr>
          <w:ilvl w:val="0"/>
          <w:numId w:val="22"/>
        </w:numPr>
        <w:jc w:val="both"/>
        <w:rPr>
          <w:rFonts w:cstheme="minorHAnsi"/>
        </w:rPr>
      </w:pPr>
      <w:r>
        <w:rPr>
          <w:rFonts w:cstheme="minorHAnsi"/>
        </w:rPr>
        <w:t>Uitvoer waarbij transitbeweging vereist is: indien goederen onder schorsing van accijns het gebied van de Unie verlaten. Douanekantoor van uitgang = bevoegd kantoor voor transit.</w:t>
      </w:r>
    </w:p>
    <w:p w:rsidR="00366217" w:rsidRDefault="00FD1DB0">
      <w:pPr>
        <w:ind w:left="720"/>
        <w:jc w:val="both"/>
        <w:rPr>
          <w:rFonts w:cstheme="minorHAnsi"/>
          <w:b/>
          <w:bCs/>
          <w:i/>
          <w:color w:val="C0504D" w:themeColor="accent2"/>
          <w:u w:val="single"/>
        </w:rPr>
      </w:pPr>
      <w:r>
        <w:rPr>
          <w:rFonts w:cstheme="minorHAnsi"/>
          <w:b/>
          <w:bCs/>
          <w:i/>
          <w:color w:val="C0504D" w:themeColor="accent2"/>
          <w:u w:val="single"/>
        </w:rPr>
        <w:t>Overgangsmaatregelen</w:t>
      </w:r>
    </w:p>
    <w:p w:rsidR="00366217" w:rsidRDefault="00FD1DB0">
      <w:pPr>
        <w:ind w:left="709"/>
        <w:jc w:val="both"/>
        <w:rPr>
          <w:rFonts w:cstheme="minorHAnsi"/>
          <w:i/>
        </w:rPr>
      </w:pPr>
      <w:r>
        <w:rPr>
          <w:rFonts w:cstheme="minorHAnsi"/>
          <w:i/>
        </w:rPr>
        <w:t>UCC werkprogramma: het geautomatiseerd uitvoersysteem (AES) zal opgesplitst worden in twee componenten: 1 op de ontwikkeling van het Europees systeem en 2 op de aanpassing van de nationale systemen. Uitrol component 1 voorzien tussen oktober 2019 en maart 2020. Uitrol component 2 voorzien tussen maart 2017 en maart 2020.</w:t>
      </w:r>
    </w:p>
    <w:p w:rsidR="00366217" w:rsidRDefault="00FD1DB0">
      <w:pPr>
        <w:ind w:left="709"/>
        <w:jc w:val="both"/>
        <w:rPr>
          <w:rFonts w:cstheme="minorHAnsi"/>
          <w:i/>
        </w:rPr>
      </w:pPr>
      <w:r>
        <w:rPr>
          <w:rFonts w:cstheme="minorHAnsi"/>
          <w:i/>
        </w:rPr>
        <w:t>Tot dan huidige systemen/praktijken verder te gebruiken zoals neergelegd in TDA.</w:t>
      </w:r>
    </w:p>
    <w:p w:rsidR="00366217" w:rsidRDefault="00FD1DB0">
      <w:pPr>
        <w:pStyle w:val="Lijstalinea"/>
        <w:jc w:val="both"/>
        <w:rPr>
          <w:rFonts w:cstheme="minorHAnsi"/>
          <w:b/>
        </w:rPr>
      </w:pPr>
      <w:r>
        <w:rPr>
          <w:rFonts w:cstheme="minorHAnsi"/>
          <w:b/>
        </w:rPr>
        <w:t>Enkele bepalingen met betrekking tot uitvoer van landbouwproducten</w:t>
      </w:r>
    </w:p>
    <w:p w:rsidR="00366217" w:rsidRDefault="00366217">
      <w:pPr>
        <w:pStyle w:val="Lijstalinea"/>
        <w:jc w:val="both"/>
        <w:rPr>
          <w:rFonts w:ascii="Calibri" w:eastAsia="Calibri" w:hAnsi="Calibri" w:cstheme="minorHAnsi"/>
          <w:b/>
        </w:rPr>
      </w:pPr>
    </w:p>
    <w:p w:rsidR="00366217" w:rsidRDefault="00FD1DB0">
      <w:pPr>
        <w:pStyle w:val="Lijstalinea"/>
        <w:numPr>
          <w:ilvl w:val="0"/>
          <w:numId w:val="22"/>
        </w:numPr>
        <w:jc w:val="both"/>
        <w:rPr>
          <w:rFonts w:cstheme="minorHAnsi"/>
        </w:rPr>
      </w:pPr>
      <w:r>
        <w:rPr>
          <w:rFonts w:cstheme="minorHAnsi"/>
        </w:rPr>
        <w:t>Het gebruik van een controle-exemplaar T5, opgenomen in de artikelen 912 bis tot 912 octies van Verordening (EEG) 2454/93, is niet opgenomen in de nieuwe bepalingen; en komt dus te vervallen op 1 mei 2016.</w:t>
      </w:r>
    </w:p>
    <w:p w:rsidR="00366217" w:rsidRDefault="00FD1DB0">
      <w:pPr>
        <w:pStyle w:val="Lijstalinea"/>
        <w:numPr>
          <w:ilvl w:val="0"/>
          <w:numId w:val="22"/>
        </w:numPr>
        <w:spacing w:before="60" w:after="60"/>
        <w:jc w:val="both"/>
        <w:rPr>
          <w:rFonts w:cstheme="minorHAnsi"/>
        </w:rPr>
      </w:pPr>
      <w:r>
        <w:rPr>
          <w:rFonts w:cstheme="minorHAnsi"/>
        </w:rPr>
        <w:t xml:space="preserve">Met ingang van 1 mei 2016 wordt voor de vrijgave van de zekerheid van een uitvoercertificaat AGREX gebruik gemaakt van </w:t>
      </w:r>
      <w:r>
        <w:rPr>
          <w:rFonts w:cs="EUAlbertina"/>
          <w:color w:val="000000"/>
        </w:rPr>
        <w:t>de bevestiging van de uitgang zoals bedoeld in artikel 334 van de IA.</w:t>
      </w:r>
    </w:p>
    <w:p w:rsidR="00366217" w:rsidRDefault="00366217">
      <w:pPr>
        <w:pStyle w:val="Lijstalinea"/>
        <w:spacing w:before="60" w:after="60"/>
        <w:ind w:left="1440"/>
        <w:jc w:val="both"/>
        <w:rPr>
          <w:rFonts w:ascii="Calibri" w:eastAsia="Calibri" w:hAnsi="Calibri" w:cstheme="minorHAnsi"/>
        </w:rPr>
      </w:pPr>
    </w:p>
    <w:p w:rsidR="00366217" w:rsidRDefault="00FD1DB0">
      <w:pPr>
        <w:pStyle w:val="Titredeux"/>
        <w:numPr>
          <w:ilvl w:val="1"/>
          <w:numId w:val="1"/>
        </w:numPr>
        <w:jc w:val="both"/>
        <w:rPr>
          <w:rFonts w:cstheme="minorHAnsi"/>
          <w:i/>
          <w:iCs/>
          <w:color w:val="4BACC6" w:themeColor="accent5"/>
        </w:rPr>
      </w:pPr>
      <w:bookmarkStart w:id="33" w:name="_Toc438135721"/>
      <w:bookmarkEnd w:id="33"/>
      <w:r>
        <w:rPr>
          <w:rFonts w:cstheme="minorHAnsi"/>
          <w:i/>
          <w:iCs/>
        </w:rPr>
        <w:t>Titel IX: Slotbepalingen</w:t>
      </w:r>
    </w:p>
    <w:p w:rsidR="00366217" w:rsidRDefault="00FD1DB0">
      <w:pPr>
        <w:pStyle w:val="Lijstalinea"/>
        <w:jc w:val="both"/>
        <w:rPr>
          <w:rFonts w:cstheme="minorHAnsi"/>
          <w:i/>
          <w:iCs/>
        </w:rPr>
      </w:pPr>
      <w:r>
        <w:rPr>
          <w:rFonts w:cstheme="minorHAnsi"/>
          <w:i/>
          <w:iCs/>
        </w:rPr>
        <w:t>Er dient een onderscheid gemaakt te worden tussen:</w:t>
      </w:r>
    </w:p>
    <w:p w:rsidR="00366217" w:rsidRDefault="00FD1DB0">
      <w:pPr>
        <w:pStyle w:val="Lijstalinea"/>
        <w:numPr>
          <w:ilvl w:val="1"/>
          <w:numId w:val="33"/>
        </w:numPr>
        <w:jc w:val="both"/>
        <w:rPr>
          <w:rFonts w:cstheme="minorHAnsi"/>
          <w:i/>
          <w:iCs/>
        </w:rPr>
      </w:pPr>
      <w:r>
        <w:rPr>
          <w:rFonts w:cstheme="minorHAnsi"/>
          <w:i/>
          <w:iCs/>
        </w:rPr>
        <w:t>de administratieve overgangsmaatregelen (titel IX van UCC DA en IA) en</w:t>
      </w:r>
    </w:p>
    <w:p w:rsidR="00366217" w:rsidRDefault="00FD1DB0">
      <w:pPr>
        <w:pStyle w:val="Lijstalinea"/>
        <w:numPr>
          <w:ilvl w:val="1"/>
          <w:numId w:val="33"/>
        </w:numPr>
        <w:jc w:val="both"/>
        <w:rPr>
          <w:rFonts w:cstheme="minorHAnsi"/>
          <w:i/>
          <w:iCs/>
        </w:rPr>
      </w:pPr>
      <w:r>
        <w:rPr>
          <w:rFonts w:cstheme="minorHAnsi"/>
          <w:i/>
          <w:iCs/>
        </w:rPr>
        <w:t>de overgangsmaatregelen gelinkt aan de elektronische systemen (in afwachting van de nieuwe elektronische Europese systemen, verspreid in TDA, UCC DA en UCC IA).</w:t>
      </w:r>
    </w:p>
    <w:p w:rsidR="00366217" w:rsidRDefault="00FD1DB0">
      <w:pPr>
        <w:pStyle w:val="Titretrois"/>
        <w:numPr>
          <w:ilvl w:val="2"/>
          <w:numId w:val="1"/>
        </w:numPr>
        <w:jc w:val="both"/>
        <w:rPr>
          <w:rFonts w:cstheme="minorHAnsi"/>
          <w:i/>
          <w:iCs/>
          <w:sz w:val="22"/>
          <w:szCs w:val="22"/>
        </w:rPr>
      </w:pPr>
      <w:bookmarkStart w:id="34" w:name="_Toc438135722"/>
      <w:bookmarkEnd w:id="34"/>
      <w:r>
        <w:rPr>
          <w:rFonts w:cstheme="minorHAnsi"/>
          <w:i/>
          <w:iCs/>
          <w:sz w:val="22"/>
          <w:szCs w:val="22"/>
        </w:rPr>
        <w:t>Algemene principes met betrekking tot administratieve overgangsmaatregelen.</w:t>
      </w:r>
    </w:p>
    <w:p w:rsidR="00366217" w:rsidRDefault="00FD1DB0">
      <w:pPr>
        <w:pStyle w:val="Lijstalinea"/>
        <w:numPr>
          <w:ilvl w:val="0"/>
          <w:numId w:val="35"/>
        </w:numPr>
        <w:ind w:left="2127"/>
        <w:jc w:val="both"/>
        <w:rPr>
          <w:rFonts w:cstheme="minorHAnsi"/>
          <w:i/>
          <w:iCs/>
        </w:rPr>
      </w:pPr>
      <w:r>
        <w:rPr>
          <w:rFonts w:cstheme="minorHAnsi"/>
          <w:i/>
          <w:iCs/>
        </w:rPr>
        <w:t>Vergunningen die geldig zijn op 1 mei 2016 en waarvoor geen beperking van de geldigheidsduur is voorzien, dienen herbeoordeeld te worden. Beschikkingen als gevolg van een herbeoordeling moeten voor 1 mei 2019 worden afgegeven.</w:t>
      </w:r>
    </w:p>
    <w:p w:rsidR="00366217" w:rsidRDefault="00FD1DB0">
      <w:pPr>
        <w:pStyle w:val="Lijstalinea"/>
        <w:numPr>
          <w:ilvl w:val="0"/>
          <w:numId w:val="35"/>
        </w:numPr>
        <w:ind w:left="2127"/>
        <w:jc w:val="both"/>
        <w:rPr>
          <w:rFonts w:cstheme="minorHAnsi"/>
          <w:i/>
          <w:iCs/>
        </w:rPr>
      </w:pPr>
      <w:r>
        <w:rPr>
          <w:rFonts w:cstheme="minorHAnsi"/>
          <w:i/>
          <w:iCs/>
        </w:rPr>
        <w:t>Vergunningen met een beperkte geldigheidsduur blijven geldig tot het verstrijken van die geldigheidsduur of tot 1 mei 2019, indien deze datum eerder valt.</w:t>
      </w:r>
    </w:p>
    <w:p w:rsidR="00366217" w:rsidRDefault="00FD1DB0">
      <w:pPr>
        <w:pStyle w:val="Titretrois"/>
        <w:numPr>
          <w:ilvl w:val="2"/>
          <w:numId w:val="1"/>
        </w:numPr>
        <w:jc w:val="both"/>
        <w:rPr>
          <w:rFonts w:cstheme="minorHAnsi"/>
          <w:i/>
          <w:iCs/>
          <w:sz w:val="22"/>
          <w:szCs w:val="22"/>
        </w:rPr>
      </w:pPr>
      <w:bookmarkStart w:id="35" w:name="_Toc438135723"/>
      <w:bookmarkEnd w:id="35"/>
      <w:r>
        <w:rPr>
          <w:rFonts w:cstheme="minorHAnsi"/>
          <w:i/>
          <w:iCs/>
          <w:sz w:val="22"/>
          <w:szCs w:val="22"/>
        </w:rPr>
        <w:t>Algemene principes met betrekking tot overgangsmaatregelen gelinkt aan de nieuwe elektronische systemen.</w:t>
      </w:r>
    </w:p>
    <w:p w:rsidR="00366217" w:rsidRDefault="00FD1DB0">
      <w:pPr>
        <w:pStyle w:val="Lijstalinea"/>
        <w:jc w:val="both"/>
        <w:rPr>
          <w:rFonts w:cstheme="minorHAnsi"/>
          <w:i/>
          <w:iCs/>
        </w:rPr>
      </w:pPr>
      <w:r>
        <w:rPr>
          <w:rFonts w:cstheme="minorHAnsi"/>
          <w:i/>
          <w:iCs/>
        </w:rPr>
        <w:t xml:space="preserve">De Europese Commissie tracht tijdens de overgangsperiode een status quo na te streven. </w:t>
      </w:r>
    </w:p>
    <w:p w:rsidR="00366217" w:rsidRDefault="00FD1DB0">
      <w:pPr>
        <w:pStyle w:val="Lijstalinea"/>
        <w:jc w:val="both"/>
        <w:rPr>
          <w:rFonts w:cstheme="minorHAnsi"/>
          <w:i/>
          <w:iCs/>
        </w:rPr>
      </w:pPr>
      <w:r>
        <w:rPr>
          <w:rFonts w:cstheme="minorHAnsi"/>
          <w:i/>
          <w:iCs/>
        </w:rPr>
        <w:t>Dit wil zeggen dat huidige systemen en procedures zoveel mogelijk worden verder gezet tijdens de overgangsperiode.</w:t>
      </w:r>
    </w:p>
    <w:p w:rsidR="00366217" w:rsidRDefault="00366217">
      <w:pPr>
        <w:pStyle w:val="Lijstalinea"/>
        <w:jc w:val="both"/>
        <w:rPr>
          <w:rFonts w:ascii="Calibri" w:eastAsia="Calibri" w:hAnsi="Calibri" w:cstheme="minorHAnsi"/>
          <w:i/>
          <w:iCs/>
        </w:rPr>
      </w:pPr>
    </w:p>
    <w:p w:rsidR="00366217" w:rsidRDefault="00FD1DB0">
      <w:pPr>
        <w:pStyle w:val="Lijstalinea"/>
        <w:numPr>
          <w:ilvl w:val="0"/>
          <w:numId w:val="36"/>
        </w:numPr>
        <w:ind w:left="709"/>
        <w:jc w:val="both"/>
        <w:rPr>
          <w:rFonts w:cstheme="minorHAnsi"/>
          <w:i/>
          <w:iCs/>
        </w:rPr>
      </w:pPr>
      <w:r>
        <w:rPr>
          <w:rFonts w:cstheme="minorHAnsi"/>
          <w:b/>
          <w:bCs/>
          <w:i/>
          <w:iCs/>
          <w:u w:val="single"/>
        </w:rPr>
        <w:t>Toepassing bijlage A</w:t>
      </w:r>
      <w:r>
        <w:rPr>
          <w:rFonts w:cstheme="minorHAnsi"/>
          <w:i/>
          <w:iCs/>
        </w:rPr>
        <w:t xml:space="preserve"> met betrekking tot gemeenschappelijke gegevensvereisten voor aanvragen en beschikkingen + de formaten en codes hiervan : opschorting toepassing totdat de nieuwe systemen beschikbaar zijn, met uitzondering van 3 gegevensvereisten. Deze 3 elementen zijn:</w:t>
      </w:r>
    </w:p>
    <w:p w:rsidR="00366217" w:rsidRDefault="00FD1DB0">
      <w:pPr>
        <w:pStyle w:val="Lijstalinea"/>
        <w:numPr>
          <w:ilvl w:val="3"/>
          <w:numId w:val="36"/>
        </w:numPr>
        <w:jc w:val="both"/>
        <w:rPr>
          <w:rFonts w:cstheme="minorHAnsi"/>
          <w:i/>
          <w:iCs/>
        </w:rPr>
      </w:pPr>
      <w:r>
        <w:rPr>
          <w:rFonts w:cstheme="minorHAnsi"/>
          <w:i/>
          <w:iCs/>
        </w:rPr>
        <w:t>de identiteit van de aanvrager/houder van de vergunning,</w:t>
      </w:r>
    </w:p>
    <w:p w:rsidR="00366217" w:rsidRDefault="00FD1DB0">
      <w:pPr>
        <w:pStyle w:val="Lijstalinea"/>
        <w:numPr>
          <w:ilvl w:val="3"/>
          <w:numId w:val="36"/>
        </w:numPr>
        <w:jc w:val="both"/>
        <w:rPr>
          <w:rFonts w:cstheme="minorHAnsi"/>
          <w:i/>
          <w:iCs/>
        </w:rPr>
      </w:pPr>
      <w:r>
        <w:rPr>
          <w:rFonts w:cstheme="minorHAnsi"/>
          <w:i/>
          <w:iCs/>
        </w:rPr>
        <w:t>om welke soort aanvraag/vergunning het gaat en</w:t>
      </w:r>
    </w:p>
    <w:p w:rsidR="00366217" w:rsidRDefault="00FD1DB0">
      <w:pPr>
        <w:pStyle w:val="Lijstalinea"/>
        <w:numPr>
          <w:ilvl w:val="3"/>
          <w:numId w:val="36"/>
        </w:numPr>
        <w:jc w:val="both"/>
        <w:rPr>
          <w:rFonts w:cstheme="minorHAnsi"/>
          <w:i/>
          <w:iCs/>
        </w:rPr>
      </w:pPr>
      <w:r>
        <w:rPr>
          <w:rFonts w:cstheme="minorHAnsi"/>
          <w:i/>
          <w:iCs/>
        </w:rPr>
        <w:t>het geografisch toepassingsgebied van de aanvraag/vergunning.</w:t>
      </w:r>
    </w:p>
    <w:p w:rsidR="00366217" w:rsidRDefault="00366217">
      <w:pPr>
        <w:pStyle w:val="Lijstalinea"/>
        <w:ind w:left="2460"/>
        <w:jc w:val="both"/>
        <w:rPr>
          <w:rFonts w:ascii="Calibri" w:eastAsia="Calibri" w:hAnsi="Calibri" w:cstheme="minorHAnsi"/>
          <w:i/>
          <w:iCs/>
        </w:rPr>
      </w:pPr>
    </w:p>
    <w:p w:rsidR="00366217" w:rsidRDefault="00FD1DB0">
      <w:pPr>
        <w:pStyle w:val="Lijstalinea"/>
        <w:numPr>
          <w:ilvl w:val="0"/>
          <w:numId w:val="36"/>
        </w:numPr>
        <w:ind w:left="709"/>
        <w:jc w:val="both"/>
        <w:rPr>
          <w:rFonts w:cstheme="minorHAnsi"/>
          <w:i/>
          <w:iCs/>
        </w:rPr>
      </w:pPr>
      <w:r>
        <w:rPr>
          <w:rFonts w:cstheme="minorHAnsi"/>
          <w:b/>
          <w:bCs/>
          <w:i/>
          <w:iCs/>
          <w:u w:val="single"/>
        </w:rPr>
        <w:t>Toepassing bijlage B</w:t>
      </w:r>
      <w:r>
        <w:rPr>
          <w:rFonts w:cstheme="minorHAnsi"/>
          <w:i/>
          <w:iCs/>
        </w:rPr>
        <w:t xml:space="preserve"> met betrekking tot de gemeenschappelijke gegevensvereisten voor aangiften, kennisgevingen en bewijs van de douanestatus van Uniegoederen + de formaten en codes hiervan: opschorting toepassing totdat de nieuwe systemen beschikbaar zijn.</w:t>
      </w:r>
    </w:p>
    <w:p w:rsidR="00366217" w:rsidRDefault="00366217">
      <w:pPr>
        <w:pStyle w:val="Lijstalinea"/>
        <w:ind w:left="1832"/>
        <w:jc w:val="both"/>
        <w:rPr>
          <w:rFonts w:ascii="Calibri" w:eastAsia="Calibri" w:hAnsi="Calibri" w:cstheme="minorHAnsi"/>
          <w:i/>
          <w:iCs/>
        </w:rPr>
      </w:pPr>
    </w:p>
    <w:p w:rsidR="00366217" w:rsidRDefault="00FD1DB0">
      <w:pPr>
        <w:pStyle w:val="Lijstalinea"/>
        <w:jc w:val="both"/>
        <w:rPr>
          <w:rFonts w:cstheme="minorHAnsi"/>
          <w:i/>
          <w:iCs/>
        </w:rPr>
      </w:pPr>
      <w:r>
        <w:rPr>
          <w:rFonts w:cstheme="minorHAnsi"/>
          <w:i/>
          <w:iCs/>
        </w:rPr>
        <w:t>Van zodra een elektronisch systeem beschikbaar is , wordt voor dat toepassingsgebied het gebruik van bijlage A en B verplicht. Bij wijze van voorbeeld, de nieuwe NCTS update is voorzien voor 1 mei 2019. Vanaf die datum is het gebruik van de volledige bijlage A en B verplicht voor wat betreft NCTS. Dus nog niet voor bijvoorbeeld gecentraliseerde vrijmaking wat in 2020 voorzien is.</w:t>
      </w:r>
    </w:p>
    <w:p w:rsidR="00366217" w:rsidRDefault="00366217">
      <w:pPr>
        <w:pStyle w:val="Lijstalinea"/>
        <w:jc w:val="both"/>
        <w:rPr>
          <w:rFonts w:ascii="Calibri" w:eastAsia="Calibri" w:hAnsi="Calibri" w:cstheme="minorHAnsi"/>
          <w:i/>
          <w:iCs/>
        </w:rPr>
      </w:pPr>
    </w:p>
    <w:p w:rsidR="00366217" w:rsidRDefault="00FD1DB0">
      <w:pPr>
        <w:pStyle w:val="Lijstalinea"/>
        <w:numPr>
          <w:ilvl w:val="0"/>
          <w:numId w:val="36"/>
        </w:numPr>
        <w:ind w:left="709"/>
        <w:jc w:val="both"/>
        <w:rPr>
          <w:rFonts w:cstheme="minorHAnsi"/>
          <w:i/>
          <w:iCs/>
        </w:rPr>
      </w:pPr>
      <w:r>
        <w:rPr>
          <w:rFonts w:cstheme="minorHAnsi"/>
          <w:b/>
          <w:i/>
          <w:iCs/>
          <w:u w:val="single"/>
        </w:rPr>
        <w:t>Gegevensvereisten</w:t>
      </w:r>
    </w:p>
    <w:p w:rsidR="00366217" w:rsidRDefault="00FD1DB0">
      <w:pPr>
        <w:pStyle w:val="Lijstalinea"/>
        <w:ind w:left="709"/>
        <w:jc w:val="both"/>
        <w:rPr>
          <w:rFonts w:cstheme="minorHAnsi"/>
          <w:i/>
          <w:iCs/>
        </w:rPr>
      </w:pPr>
      <w:r>
        <w:rPr>
          <w:rFonts w:cstheme="minorHAnsi"/>
          <w:i/>
          <w:iCs/>
        </w:rPr>
        <w:t>Bijlage A van het UCC bevat de gemeenschappelijke gegevensvereisten voor aanvragen en beschikkingen + de formaten en codes hiervan.</w:t>
      </w:r>
    </w:p>
    <w:p w:rsidR="00366217" w:rsidRDefault="00366217">
      <w:pPr>
        <w:pStyle w:val="Lijstalinea"/>
        <w:jc w:val="both"/>
        <w:rPr>
          <w:rFonts w:ascii="Calibri" w:eastAsia="Calibri" w:hAnsi="Calibri" w:cstheme="minorHAnsi"/>
          <w:i/>
          <w:iCs/>
        </w:rPr>
      </w:pPr>
    </w:p>
    <w:p w:rsidR="00366217" w:rsidRDefault="00FD1DB0">
      <w:pPr>
        <w:pStyle w:val="Lijstalinea"/>
        <w:jc w:val="both"/>
        <w:rPr>
          <w:rFonts w:cstheme="minorHAnsi"/>
          <w:i/>
          <w:iCs/>
        </w:rPr>
      </w:pPr>
      <w:r>
        <w:rPr>
          <w:rFonts w:cstheme="minorHAnsi"/>
          <w:i/>
          <w:iCs/>
        </w:rPr>
        <w:t>Bijlage B van het UCC bevat de gemeenschappelijke gegevensvereisten voor aangiften, kennisgevingen en bewijs van de douanestatus van Uniegoederen + de formaten en codes hiervan.</w:t>
      </w:r>
    </w:p>
    <w:p w:rsidR="00366217" w:rsidRDefault="00366217">
      <w:pPr>
        <w:pStyle w:val="Lijstalinea"/>
        <w:jc w:val="both"/>
        <w:rPr>
          <w:rFonts w:ascii="Calibri" w:eastAsia="Calibri" w:hAnsi="Calibri" w:cstheme="minorHAnsi"/>
          <w:i/>
          <w:iCs/>
        </w:rPr>
      </w:pPr>
    </w:p>
    <w:p w:rsidR="00366217" w:rsidRDefault="00FD1DB0">
      <w:pPr>
        <w:pStyle w:val="Lijstalinea"/>
        <w:jc w:val="both"/>
        <w:rPr>
          <w:rFonts w:cstheme="minorHAnsi"/>
          <w:i/>
          <w:iCs/>
        </w:rPr>
      </w:pPr>
      <w:r>
        <w:rPr>
          <w:rFonts w:cstheme="minorHAnsi"/>
          <w:i/>
          <w:iCs/>
        </w:rPr>
        <w:t>Het wijzigingsvoorstel van artikel 2 van de gedelegeerde handelingen (DA), geeft verduidelijkingen op de bestaande gegevens van bijlagen A en B:</w:t>
      </w:r>
    </w:p>
    <w:p w:rsidR="00366217" w:rsidRDefault="00366217">
      <w:pPr>
        <w:pStyle w:val="Lijstalinea"/>
        <w:jc w:val="both"/>
        <w:rPr>
          <w:rFonts w:ascii="Calibri" w:eastAsia="Calibri" w:hAnsi="Calibri" w:cstheme="minorHAnsi"/>
          <w:i/>
          <w:iCs/>
        </w:rPr>
      </w:pPr>
    </w:p>
    <w:p w:rsidR="00366217" w:rsidRDefault="00FD1DB0">
      <w:pPr>
        <w:pStyle w:val="Lijstalinea"/>
        <w:jc w:val="both"/>
        <w:rPr>
          <w:rFonts w:cstheme="minorHAnsi"/>
          <w:i/>
          <w:iCs/>
          <w:lang w:val="en-GB"/>
        </w:rPr>
      </w:pPr>
      <w:r>
        <w:rPr>
          <w:rFonts w:cstheme="minorHAnsi"/>
          <w:i/>
          <w:iCs/>
          <w:lang w:val="en-GB"/>
        </w:rPr>
        <w:t>“Article 2</w:t>
      </w:r>
    </w:p>
    <w:p w:rsidR="00366217" w:rsidRDefault="00FD1DB0">
      <w:pPr>
        <w:pStyle w:val="Lijstalinea"/>
        <w:jc w:val="both"/>
        <w:rPr>
          <w:rFonts w:cstheme="minorHAnsi"/>
          <w:b/>
          <w:bCs/>
          <w:i/>
          <w:iCs/>
          <w:lang w:val="en-GB"/>
        </w:rPr>
      </w:pPr>
      <w:r>
        <w:rPr>
          <w:rFonts w:cstheme="minorHAnsi"/>
          <w:b/>
          <w:bCs/>
          <w:i/>
          <w:iCs/>
          <w:lang w:val="en-GB"/>
        </w:rPr>
        <w:t>Common data requirements</w:t>
      </w:r>
    </w:p>
    <w:p w:rsidR="00366217" w:rsidRDefault="00FD1DB0">
      <w:pPr>
        <w:pStyle w:val="Lijstalinea"/>
        <w:jc w:val="both"/>
        <w:rPr>
          <w:rFonts w:cstheme="minorHAnsi"/>
          <w:b/>
          <w:bCs/>
          <w:i/>
          <w:iCs/>
          <w:lang w:val="en-US"/>
        </w:rPr>
      </w:pPr>
      <w:r>
        <w:rPr>
          <w:rFonts w:cstheme="minorHAnsi"/>
          <w:b/>
          <w:bCs/>
          <w:i/>
          <w:iCs/>
          <w:lang w:val="en-US"/>
        </w:rPr>
        <w:t>(Article 6(2) of the Code)</w:t>
      </w:r>
    </w:p>
    <w:p w:rsidR="00366217" w:rsidRDefault="00FD1DB0">
      <w:pPr>
        <w:pStyle w:val="Lijstalinea"/>
        <w:ind w:left="993" w:hanging="273"/>
        <w:jc w:val="both"/>
        <w:rPr>
          <w:rFonts w:cstheme="minorHAnsi"/>
          <w:i/>
          <w:iCs/>
          <w:lang w:val="en-GB"/>
        </w:rPr>
      </w:pPr>
      <w:r>
        <w:rPr>
          <w:rFonts w:cstheme="minorHAnsi"/>
          <w:i/>
          <w:iCs/>
          <w:lang w:val="en-GB"/>
        </w:rPr>
        <w:t>1.</w:t>
      </w:r>
      <w:r>
        <w:rPr>
          <w:rFonts w:cstheme="minorHAnsi"/>
          <w:i/>
          <w:iCs/>
          <w:lang w:val="en-GB"/>
        </w:rPr>
        <w:tab/>
        <w:t>The exchange and storage of information required for applications and decisions shall be subject to the common data requirements set out in Annex A.</w:t>
      </w:r>
    </w:p>
    <w:p w:rsidR="00366217" w:rsidRDefault="00FD1DB0">
      <w:pPr>
        <w:pStyle w:val="Lijstalinea"/>
        <w:ind w:left="993" w:hanging="273"/>
        <w:jc w:val="both"/>
        <w:rPr>
          <w:rFonts w:cstheme="minorHAnsi"/>
          <w:i/>
          <w:iCs/>
          <w:lang w:val="en-GB"/>
        </w:rPr>
      </w:pPr>
      <w:r>
        <w:rPr>
          <w:rFonts w:cstheme="minorHAnsi"/>
          <w:i/>
          <w:iCs/>
          <w:lang w:val="en-GB"/>
        </w:rPr>
        <w:t xml:space="preserve">2. </w:t>
      </w:r>
      <w:r>
        <w:rPr>
          <w:rFonts w:cstheme="minorHAnsi"/>
          <w:i/>
          <w:iCs/>
          <w:lang w:val="en-GB"/>
        </w:rPr>
        <w:tab/>
        <w:t>The exchange and storage of information required for declarations, notifications and proof of customs status shall be subject to the common data requirements set out in Annex B.</w:t>
      </w:r>
    </w:p>
    <w:p w:rsidR="00366217" w:rsidRDefault="00366217">
      <w:pPr>
        <w:pStyle w:val="Lijstalinea"/>
        <w:ind w:left="993" w:hanging="273"/>
        <w:jc w:val="both"/>
        <w:rPr>
          <w:rFonts w:ascii="Calibri" w:eastAsia="Calibri" w:hAnsi="Calibri" w:cstheme="minorHAnsi"/>
          <w:i/>
          <w:iCs/>
          <w:lang w:val="en-GB"/>
        </w:rPr>
      </w:pPr>
    </w:p>
    <w:p w:rsidR="00366217" w:rsidRDefault="00FD1DB0">
      <w:pPr>
        <w:pStyle w:val="Lijstalinea"/>
        <w:jc w:val="both"/>
        <w:rPr>
          <w:rFonts w:cstheme="minorHAnsi"/>
          <w:i/>
          <w:iCs/>
          <w:lang w:val="en-GB"/>
        </w:rPr>
      </w:pPr>
      <w:r>
        <w:rPr>
          <w:rFonts w:cstheme="minorHAnsi"/>
          <w:i/>
          <w:iCs/>
          <w:lang w:val="en-GB"/>
        </w:rPr>
        <w:t xml:space="preserve"> 2a.</w:t>
      </w:r>
      <w:r>
        <w:rPr>
          <w:rFonts w:cstheme="minorHAnsi"/>
          <w:i/>
          <w:iCs/>
          <w:lang w:val="en-GB"/>
        </w:rPr>
        <w:tab/>
        <w:t>By way of derogation from paragraph 1 of this Article, until the date of deployment of the first phase of the upgrading of the BTI system and the Surveillance 2 system, column 1a of Annex A of this Regulation shall not apply and the respective data requirements shall be those set out in Annexes 2-5 to Commission Delegated Regulation (EU) …/… of XXX establishing transitional rules for certain provisions of Regulation (EU) No 952/2013 of the European Parliament and of the Council where the relevant electronic systems are not yet operational.</w:t>
      </w:r>
    </w:p>
    <w:p w:rsidR="00366217" w:rsidRDefault="00FD1DB0">
      <w:pPr>
        <w:pStyle w:val="Lijstalinea"/>
        <w:jc w:val="both"/>
        <w:rPr>
          <w:rFonts w:cstheme="minorHAnsi"/>
          <w:i/>
          <w:iCs/>
          <w:lang w:val="en-GB"/>
        </w:rPr>
      </w:pPr>
      <w:r>
        <w:rPr>
          <w:rFonts w:cstheme="minorHAnsi"/>
          <w:i/>
          <w:iCs/>
          <w:lang w:val="en-GB"/>
        </w:rPr>
        <w:t>By way of derogation from paragraph 1 of this Article, until the date of the upgrading of the AEO system, column 2 of Annex A of this Regulation shall not apply and the respective data requirements shall be those set out in Annexes 6 and 7 to Commission Delegated Regulation (EU) …/… [TDA].</w:t>
      </w:r>
    </w:p>
    <w:p w:rsidR="00366217" w:rsidRDefault="00FD1DB0">
      <w:pPr>
        <w:pStyle w:val="Lijstalinea"/>
        <w:jc w:val="both"/>
        <w:rPr>
          <w:rFonts w:cstheme="minorHAnsi"/>
          <w:i/>
          <w:iCs/>
          <w:lang w:val="en-GB"/>
        </w:rPr>
      </w:pPr>
      <w:r>
        <w:rPr>
          <w:rFonts w:cstheme="minorHAnsi"/>
          <w:i/>
          <w:iCs/>
          <w:lang w:val="en-GB"/>
        </w:rPr>
        <w:t>2b.</w:t>
      </w:r>
      <w:r>
        <w:rPr>
          <w:rFonts w:cstheme="minorHAnsi"/>
          <w:i/>
          <w:iCs/>
          <w:lang w:val="en-GB"/>
        </w:rPr>
        <w:tab/>
        <w:t>By way of derogation from paragraph 2 of this Article, until the respective dates of deployment or the upgrading of the relevant IT systems as set out in Annex 1 to Commission Delegated Regulation (EU) …/… [TDA] and in the Annex to Implementing Decision 2014/255/EU, the common data requirements set out in Annex B of this Regulation shall not apply.</w:t>
      </w:r>
    </w:p>
    <w:p w:rsidR="00366217" w:rsidRDefault="00FD1DB0">
      <w:pPr>
        <w:pStyle w:val="Lijstalinea"/>
        <w:jc w:val="both"/>
        <w:rPr>
          <w:rFonts w:cstheme="minorHAnsi"/>
          <w:i/>
          <w:iCs/>
          <w:lang w:val="en-GB"/>
        </w:rPr>
      </w:pPr>
      <w:r>
        <w:rPr>
          <w:rFonts w:cstheme="minorHAnsi"/>
          <w:i/>
          <w:iCs/>
          <w:lang w:val="en-GB"/>
        </w:rPr>
        <w:t xml:space="preserve">Until the dates of deployment or upgrading of the relevant IT systems as set out in Annex 1 to Commission Delegated Regulation (EU) …/… [TDA] and in the Annex to Implementing Decision 2014/255/EU, the exchange and storage of information required for declarations, notifications and proof of customs status shall be subject to the data requirements set out in Annex 9 of Commission Delegated Regulation (EU) …/… [TDA], unless otherwise provided for in this Regulation and Commission Delegated Regulation (EU) …/… [TDA]. </w:t>
      </w:r>
    </w:p>
    <w:p w:rsidR="00366217" w:rsidRDefault="00FD1DB0">
      <w:pPr>
        <w:pStyle w:val="Lijstalinea"/>
        <w:jc w:val="both"/>
        <w:rPr>
          <w:rFonts w:cstheme="minorHAnsi"/>
          <w:i/>
          <w:iCs/>
          <w:lang w:val="en-GB"/>
        </w:rPr>
      </w:pPr>
      <w:r>
        <w:rPr>
          <w:rFonts w:cstheme="minorHAnsi"/>
          <w:i/>
          <w:iCs/>
          <w:lang w:val="en-GB"/>
        </w:rPr>
        <w:t>Where the data requirements for the exchange and storage of information required for declarations, notifications and proof of customs status are not referred to in the previous subparagraph, Member States shall ensure that the respective data requirements allow the application of the provisions governing those declarations, notifications and proof of customs status.</w:t>
      </w:r>
    </w:p>
    <w:p w:rsidR="00366217" w:rsidRDefault="00366217">
      <w:pPr>
        <w:pStyle w:val="Lijstalinea"/>
        <w:jc w:val="both"/>
        <w:rPr>
          <w:rFonts w:ascii="Calibri" w:eastAsia="Calibri" w:hAnsi="Calibri" w:cstheme="minorHAnsi"/>
          <w:i/>
          <w:iCs/>
          <w:lang w:val="en-GB"/>
        </w:rPr>
      </w:pPr>
    </w:p>
    <w:p w:rsidR="00366217" w:rsidRDefault="00FD1DB0">
      <w:pPr>
        <w:pStyle w:val="Lijstalinea"/>
        <w:jc w:val="both"/>
        <w:rPr>
          <w:rFonts w:cstheme="minorHAnsi"/>
          <w:i/>
          <w:iCs/>
          <w:lang w:val="en-GB"/>
        </w:rPr>
      </w:pPr>
      <w:r>
        <w:rPr>
          <w:rFonts w:cstheme="minorHAnsi"/>
          <w:i/>
          <w:iCs/>
          <w:lang w:val="en-GB"/>
        </w:rPr>
        <w:t>2c.</w:t>
      </w:r>
      <w:r>
        <w:rPr>
          <w:rFonts w:cstheme="minorHAnsi"/>
          <w:i/>
          <w:iCs/>
          <w:lang w:val="en-GB"/>
        </w:rPr>
        <w:tab/>
        <w:t>Until the date of deployment of the UCC Customs Decisions system, the data requirements laid down in Annex A of this Regulation shall be optional to Member States, which can replace these data requirements with other data requirements that meet the same objectives, for the following applications and authorisations, with the exception of the situations covered by points (g), (h), (i), (l), (m), (n), (o) and (p):</w:t>
      </w:r>
    </w:p>
    <w:p w:rsidR="00366217" w:rsidRDefault="00FD1DB0">
      <w:pPr>
        <w:pStyle w:val="Lijstalinea"/>
        <w:ind w:left="1134" w:hanging="414"/>
        <w:jc w:val="both"/>
        <w:rPr>
          <w:rFonts w:cstheme="minorHAnsi"/>
          <w:i/>
          <w:iCs/>
          <w:lang w:val="en-GB"/>
        </w:rPr>
      </w:pPr>
      <w:r>
        <w:rPr>
          <w:rFonts w:cstheme="minorHAnsi"/>
          <w:i/>
          <w:iCs/>
          <w:lang w:val="en-GB"/>
        </w:rPr>
        <w:t>(a)</w:t>
      </w:r>
      <w:r>
        <w:rPr>
          <w:rFonts w:cstheme="minorHAnsi"/>
          <w:i/>
          <w:iCs/>
          <w:lang w:val="en-GB"/>
        </w:rPr>
        <w:tab/>
        <w:t>Applications and authorisations relating to the simplification for the determination of amounts being part of the customs value of the goods;</w:t>
      </w:r>
    </w:p>
    <w:p w:rsidR="00366217" w:rsidRDefault="00FD1DB0">
      <w:pPr>
        <w:pStyle w:val="Lijstalinea"/>
        <w:ind w:left="1134" w:hanging="414"/>
        <w:jc w:val="both"/>
        <w:rPr>
          <w:rFonts w:cstheme="minorHAnsi"/>
          <w:i/>
          <w:iCs/>
          <w:lang w:val="en-GB"/>
        </w:rPr>
      </w:pPr>
      <w:r>
        <w:rPr>
          <w:rFonts w:cstheme="minorHAnsi"/>
          <w:i/>
          <w:iCs/>
          <w:lang w:val="en-GB"/>
        </w:rPr>
        <w:t>(b)</w:t>
      </w:r>
      <w:r>
        <w:rPr>
          <w:rFonts w:cstheme="minorHAnsi"/>
          <w:i/>
          <w:iCs/>
          <w:lang w:val="en-GB"/>
        </w:rPr>
        <w:tab/>
        <w:t>Applications and authorisations relating to comprehensive guarantees;</w:t>
      </w:r>
    </w:p>
    <w:p w:rsidR="00366217" w:rsidRDefault="00FD1DB0">
      <w:pPr>
        <w:pStyle w:val="Lijstalinea"/>
        <w:ind w:left="1134" w:hanging="414"/>
        <w:jc w:val="both"/>
        <w:rPr>
          <w:rFonts w:cstheme="minorHAnsi"/>
          <w:i/>
          <w:iCs/>
          <w:lang w:val="en-GB"/>
        </w:rPr>
      </w:pPr>
      <w:r>
        <w:rPr>
          <w:rFonts w:cstheme="minorHAnsi"/>
          <w:i/>
          <w:iCs/>
          <w:lang w:val="en-GB"/>
        </w:rPr>
        <w:t>(c)</w:t>
      </w:r>
      <w:r>
        <w:rPr>
          <w:rFonts w:cstheme="minorHAnsi"/>
          <w:i/>
          <w:iCs/>
          <w:lang w:val="en-GB"/>
        </w:rPr>
        <w:tab/>
        <w:t>Applications and authorisations for deferred payment;</w:t>
      </w:r>
    </w:p>
    <w:p w:rsidR="00366217" w:rsidRDefault="00FD1DB0">
      <w:pPr>
        <w:pStyle w:val="Lijstalinea"/>
        <w:ind w:left="1134" w:hanging="414"/>
        <w:jc w:val="both"/>
        <w:rPr>
          <w:rFonts w:cstheme="minorHAnsi"/>
          <w:i/>
          <w:iCs/>
          <w:lang w:val="en-GB"/>
        </w:rPr>
      </w:pPr>
      <w:r>
        <w:rPr>
          <w:rFonts w:cstheme="minorHAnsi"/>
          <w:i/>
          <w:iCs/>
          <w:lang w:val="en-GB"/>
        </w:rPr>
        <w:t>(d)</w:t>
      </w:r>
      <w:r>
        <w:rPr>
          <w:rFonts w:cstheme="minorHAnsi"/>
          <w:i/>
          <w:iCs/>
          <w:lang w:val="en-GB"/>
        </w:rPr>
        <w:tab/>
        <w:t>Applications and authorisations for the operation of temporary storage, facilities as referred to in Article 148 of the Code;</w:t>
      </w:r>
    </w:p>
    <w:p w:rsidR="00366217" w:rsidRDefault="00FD1DB0">
      <w:pPr>
        <w:pStyle w:val="Lijstalinea"/>
        <w:ind w:left="1134" w:hanging="414"/>
        <w:jc w:val="both"/>
        <w:rPr>
          <w:rFonts w:cstheme="minorHAnsi"/>
          <w:i/>
          <w:iCs/>
          <w:lang w:val="en-GB"/>
        </w:rPr>
      </w:pPr>
      <w:r>
        <w:rPr>
          <w:rFonts w:cstheme="minorHAnsi"/>
          <w:i/>
          <w:iCs/>
          <w:lang w:val="en-GB"/>
        </w:rPr>
        <w:t>(e)</w:t>
      </w:r>
      <w:r>
        <w:rPr>
          <w:rFonts w:cstheme="minorHAnsi"/>
          <w:i/>
          <w:iCs/>
          <w:lang w:val="en-GB"/>
        </w:rPr>
        <w:tab/>
        <w:t>Applications and authorisations for regular shipping services;</w:t>
      </w:r>
    </w:p>
    <w:p w:rsidR="00366217" w:rsidRDefault="00FD1DB0">
      <w:pPr>
        <w:pStyle w:val="Lijstalinea"/>
        <w:ind w:left="1134" w:hanging="414"/>
        <w:jc w:val="both"/>
        <w:rPr>
          <w:rFonts w:cstheme="minorHAnsi"/>
          <w:i/>
          <w:iCs/>
          <w:lang w:val="en-GB"/>
        </w:rPr>
      </w:pPr>
      <w:r>
        <w:rPr>
          <w:rFonts w:cstheme="minorHAnsi"/>
          <w:i/>
          <w:iCs/>
          <w:lang w:val="en-GB"/>
        </w:rPr>
        <w:t>(f)</w:t>
      </w:r>
      <w:r>
        <w:rPr>
          <w:rFonts w:cstheme="minorHAnsi"/>
          <w:i/>
          <w:iCs/>
          <w:lang w:val="en-GB"/>
        </w:rPr>
        <w:tab/>
        <w:t>Applications and authorisations for authorised issuer;</w:t>
      </w:r>
    </w:p>
    <w:p w:rsidR="00366217" w:rsidRDefault="00FD1DB0">
      <w:pPr>
        <w:pStyle w:val="Lijstalinea"/>
        <w:ind w:left="1134" w:hanging="414"/>
        <w:jc w:val="both"/>
        <w:rPr>
          <w:rFonts w:cstheme="minorHAnsi"/>
          <w:i/>
          <w:iCs/>
          <w:lang w:val="en-GB"/>
        </w:rPr>
      </w:pPr>
      <w:r>
        <w:rPr>
          <w:rFonts w:cstheme="minorHAnsi"/>
          <w:i/>
          <w:iCs/>
          <w:lang w:val="en-GB"/>
        </w:rPr>
        <w:t>(g)</w:t>
      </w:r>
      <w:r>
        <w:rPr>
          <w:rFonts w:cstheme="minorHAnsi"/>
          <w:i/>
          <w:iCs/>
          <w:lang w:val="en-GB"/>
        </w:rPr>
        <w:tab/>
        <w:t>Applications and authorisations for the use of simplified declaration;</w:t>
      </w:r>
    </w:p>
    <w:p w:rsidR="00366217" w:rsidRDefault="00FD1DB0">
      <w:pPr>
        <w:pStyle w:val="Lijstalinea"/>
        <w:ind w:left="1134" w:hanging="414"/>
        <w:jc w:val="both"/>
        <w:rPr>
          <w:rFonts w:cstheme="minorHAnsi"/>
          <w:i/>
          <w:iCs/>
          <w:lang w:val="en-GB"/>
        </w:rPr>
      </w:pPr>
      <w:r>
        <w:rPr>
          <w:rFonts w:cstheme="minorHAnsi"/>
          <w:i/>
          <w:iCs/>
          <w:lang w:val="en-GB"/>
        </w:rPr>
        <w:t>(h)</w:t>
      </w:r>
      <w:r>
        <w:rPr>
          <w:rFonts w:cstheme="minorHAnsi"/>
          <w:i/>
          <w:iCs/>
          <w:lang w:val="en-GB"/>
        </w:rPr>
        <w:tab/>
        <w:t>Applications and authorisations for centralised clearance;</w:t>
      </w:r>
    </w:p>
    <w:p w:rsidR="00366217" w:rsidRDefault="00FD1DB0">
      <w:pPr>
        <w:pStyle w:val="Lijstalinea"/>
        <w:ind w:left="1134" w:hanging="414"/>
        <w:jc w:val="both"/>
        <w:rPr>
          <w:rFonts w:cstheme="minorHAnsi"/>
          <w:i/>
          <w:iCs/>
          <w:lang w:val="en-GB"/>
        </w:rPr>
      </w:pPr>
      <w:r>
        <w:rPr>
          <w:rFonts w:cstheme="minorHAnsi"/>
          <w:i/>
          <w:iCs/>
          <w:lang w:val="en-GB"/>
        </w:rPr>
        <w:t>(i)</w:t>
      </w:r>
      <w:r>
        <w:rPr>
          <w:rFonts w:cstheme="minorHAnsi"/>
          <w:i/>
          <w:iCs/>
          <w:lang w:val="en-GB"/>
        </w:rPr>
        <w:tab/>
        <w:t>Applications and authorisations for entry of data in the declarant's records;</w:t>
      </w:r>
    </w:p>
    <w:p w:rsidR="00366217" w:rsidRDefault="00FD1DB0">
      <w:pPr>
        <w:pStyle w:val="Lijstalinea"/>
        <w:ind w:left="1134" w:hanging="414"/>
        <w:jc w:val="both"/>
        <w:rPr>
          <w:rFonts w:cstheme="minorHAnsi"/>
          <w:i/>
          <w:iCs/>
          <w:lang w:val="en-GB"/>
        </w:rPr>
      </w:pPr>
      <w:r>
        <w:rPr>
          <w:rFonts w:cstheme="minorHAnsi"/>
          <w:i/>
          <w:iCs/>
          <w:lang w:val="en-GB"/>
        </w:rPr>
        <w:t>(j)</w:t>
      </w:r>
      <w:r>
        <w:rPr>
          <w:rFonts w:cstheme="minorHAnsi"/>
          <w:i/>
          <w:iCs/>
          <w:lang w:val="en-GB"/>
        </w:rPr>
        <w:tab/>
        <w:t>Applications and authorisations for the status of authorised weigher of bananas;</w:t>
      </w:r>
    </w:p>
    <w:p w:rsidR="00366217" w:rsidRDefault="00FD1DB0">
      <w:pPr>
        <w:pStyle w:val="Lijstalinea"/>
        <w:ind w:left="1134" w:hanging="414"/>
        <w:jc w:val="both"/>
        <w:rPr>
          <w:rFonts w:cstheme="minorHAnsi"/>
          <w:i/>
          <w:iCs/>
          <w:lang w:val="en-GB"/>
        </w:rPr>
      </w:pPr>
      <w:r>
        <w:rPr>
          <w:rFonts w:cstheme="minorHAnsi"/>
          <w:i/>
          <w:iCs/>
          <w:lang w:val="en-GB"/>
        </w:rPr>
        <w:t>(k)</w:t>
      </w:r>
      <w:r>
        <w:rPr>
          <w:rFonts w:cstheme="minorHAnsi"/>
          <w:i/>
          <w:iCs/>
          <w:lang w:val="en-GB"/>
        </w:rPr>
        <w:tab/>
        <w:t>Applications and authorisations for self-assessment;</w:t>
      </w:r>
    </w:p>
    <w:p w:rsidR="00366217" w:rsidRDefault="00FD1DB0">
      <w:pPr>
        <w:pStyle w:val="Lijstalinea"/>
        <w:ind w:left="1134" w:hanging="414"/>
        <w:jc w:val="both"/>
        <w:rPr>
          <w:rFonts w:cstheme="minorHAnsi"/>
          <w:i/>
          <w:iCs/>
          <w:lang w:val="en-GB"/>
        </w:rPr>
      </w:pPr>
      <w:r>
        <w:rPr>
          <w:rFonts w:cstheme="minorHAnsi"/>
          <w:i/>
          <w:iCs/>
          <w:lang w:val="en-GB"/>
        </w:rPr>
        <w:t>(l)</w:t>
      </w:r>
      <w:r>
        <w:rPr>
          <w:rFonts w:cstheme="minorHAnsi"/>
          <w:i/>
          <w:iCs/>
          <w:lang w:val="en-GB"/>
        </w:rPr>
        <w:tab/>
        <w:t>Applications and authorisations for the use of inward processing;</w:t>
      </w:r>
    </w:p>
    <w:p w:rsidR="00366217" w:rsidRDefault="00FD1DB0">
      <w:pPr>
        <w:pStyle w:val="Lijstalinea"/>
        <w:ind w:left="1134" w:hanging="414"/>
        <w:jc w:val="both"/>
        <w:rPr>
          <w:rFonts w:cstheme="minorHAnsi"/>
          <w:i/>
          <w:iCs/>
          <w:lang w:val="en-GB"/>
        </w:rPr>
      </w:pPr>
      <w:r>
        <w:rPr>
          <w:rFonts w:cstheme="minorHAnsi"/>
          <w:i/>
          <w:iCs/>
          <w:lang w:val="en-GB"/>
        </w:rPr>
        <w:t>(m)</w:t>
      </w:r>
      <w:r>
        <w:rPr>
          <w:rFonts w:cstheme="minorHAnsi"/>
          <w:i/>
          <w:iCs/>
          <w:lang w:val="en-GB"/>
        </w:rPr>
        <w:tab/>
        <w:t>Applications and authorisations for the use of outward processing;</w:t>
      </w:r>
    </w:p>
    <w:p w:rsidR="00366217" w:rsidRDefault="00FD1DB0">
      <w:pPr>
        <w:pStyle w:val="Lijstalinea"/>
        <w:ind w:left="1134" w:hanging="414"/>
        <w:jc w:val="both"/>
        <w:rPr>
          <w:rFonts w:cstheme="minorHAnsi"/>
          <w:i/>
          <w:iCs/>
          <w:lang w:val="en-GB"/>
        </w:rPr>
      </w:pPr>
      <w:r>
        <w:rPr>
          <w:rFonts w:cstheme="minorHAnsi"/>
          <w:i/>
          <w:iCs/>
          <w:lang w:val="en-GB"/>
        </w:rPr>
        <w:t>(n)</w:t>
      </w:r>
      <w:r>
        <w:rPr>
          <w:rFonts w:cstheme="minorHAnsi"/>
          <w:i/>
          <w:iCs/>
          <w:lang w:val="en-GB"/>
        </w:rPr>
        <w:tab/>
        <w:t>Applications and authorisations for the use of end use;</w:t>
      </w:r>
    </w:p>
    <w:p w:rsidR="00366217" w:rsidRDefault="00FD1DB0">
      <w:pPr>
        <w:pStyle w:val="Lijstalinea"/>
        <w:ind w:left="1134" w:hanging="414"/>
        <w:jc w:val="both"/>
        <w:rPr>
          <w:rFonts w:cstheme="minorHAnsi"/>
          <w:i/>
          <w:iCs/>
          <w:lang w:val="en-GB"/>
        </w:rPr>
      </w:pPr>
      <w:r>
        <w:rPr>
          <w:rFonts w:cstheme="minorHAnsi"/>
          <w:i/>
          <w:iCs/>
          <w:lang w:val="en-GB"/>
        </w:rPr>
        <w:t>(o)</w:t>
      </w:r>
      <w:r>
        <w:rPr>
          <w:rFonts w:cstheme="minorHAnsi"/>
          <w:i/>
          <w:iCs/>
          <w:lang w:val="en-GB"/>
        </w:rPr>
        <w:tab/>
        <w:t>Applications and authorisations for the use of temporary admission;</w:t>
      </w:r>
    </w:p>
    <w:p w:rsidR="00366217" w:rsidRDefault="00FD1DB0">
      <w:pPr>
        <w:pStyle w:val="Lijstalinea"/>
        <w:ind w:left="1134" w:hanging="414"/>
        <w:jc w:val="both"/>
        <w:rPr>
          <w:rFonts w:cstheme="minorHAnsi"/>
          <w:i/>
          <w:iCs/>
          <w:lang w:val="en-GB"/>
        </w:rPr>
      </w:pPr>
      <w:r>
        <w:rPr>
          <w:rFonts w:cstheme="minorHAnsi"/>
          <w:i/>
          <w:iCs/>
          <w:lang w:val="en-GB"/>
        </w:rPr>
        <w:t>(p)</w:t>
      </w:r>
      <w:r>
        <w:rPr>
          <w:rFonts w:cstheme="minorHAnsi"/>
          <w:i/>
          <w:iCs/>
          <w:lang w:val="en-GB"/>
        </w:rPr>
        <w:tab/>
        <w:t>Applications and authorisations for the operation of storage facilities for customs warehousing;</w:t>
      </w:r>
    </w:p>
    <w:p w:rsidR="00366217" w:rsidRDefault="00FD1DB0">
      <w:pPr>
        <w:pStyle w:val="Lijstalinea"/>
        <w:ind w:left="1134" w:hanging="414"/>
        <w:jc w:val="both"/>
        <w:rPr>
          <w:rFonts w:cstheme="minorHAnsi"/>
          <w:i/>
          <w:iCs/>
          <w:lang w:val="en-GB"/>
        </w:rPr>
      </w:pPr>
      <w:r>
        <w:rPr>
          <w:rFonts w:cstheme="minorHAnsi"/>
          <w:i/>
          <w:iCs/>
          <w:lang w:val="en-GB"/>
        </w:rPr>
        <w:t>(q)</w:t>
      </w:r>
      <w:r>
        <w:rPr>
          <w:rFonts w:cstheme="minorHAnsi"/>
          <w:i/>
          <w:iCs/>
          <w:lang w:val="en-GB"/>
        </w:rPr>
        <w:tab/>
        <w:t>Applications and authorisations for the status of authorised consignee for TIR operations;</w:t>
      </w:r>
    </w:p>
    <w:p w:rsidR="00366217" w:rsidRDefault="00FD1DB0">
      <w:pPr>
        <w:pStyle w:val="Lijstalinea"/>
        <w:ind w:left="1134" w:hanging="414"/>
        <w:jc w:val="both"/>
        <w:rPr>
          <w:rFonts w:cstheme="minorHAnsi"/>
          <w:i/>
          <w:iCs/>
          <w:lang w:val="en-GB"/>
        </w:rPr>
      </w:pPr>
      <w:r>
        <w:rPr>
          <w:rFonts w:cstheme="minorHAnsi"/>
          <w:i/>
          <w:iCs/>
          <w:lang w:val="en-GB"/>
        </w:rPr>
        <w:t>(r)</w:t>
      </w:r>
      <w:r>
        <w:rPr>
          <w:rFonts w:cstheme="minorHAnsi"/>
          <w:i/>
          <w:iCs/>
          <w:lang w:val="en-GB"/>
        </w:rPr>
        <w:tab/>
        <w:t>Applications and authorisations for the status of authorised consignor for Union transit;</w:t>
      </w:r>
    </w:p>
    <w:p w:rsidR="00366217" w:rsidRDefault="00FD1DB0">
      <w:pPr>
        <w:pStyle w:val="Lijstalinea"/>
        <w:ind w:left="1134" w:hanging="414"/>
        <w:jc w:val="both"/>
        <w:rPr>
          <w:rFonts w:cstheme="minorHAnsi"/>
          <w:i/>
          <w:iCs/>
          <w:lang w:val="en-GB"/>
        </w:rPr>
      </w:pPr>
      <w:r>
        <w:rPr>
          <w:rFonts w:cstheme="minorHAnsi"/>
          <w:i/>
          <w:iCs/>
          <w:lang w:val="en-GB"/>
        </w:rPr>
        <w:t>(s)</w:t>
      </w:r>
      <w:r>
        <w:rPr>
          <w:rFonts w:cstheme="minorHAnsi"/>
          <w:i/>
          <w:iCs/>
          <w:lang w:val="en-GB"/>
        </w:rPr>
        <w:tab/>
        <w:t>Applications and authorisations for the status of authorised consignee for Union transit;</w:t>
      </w:r>
    </w:p>
    <w:p w:rsidR="00366217" w:rsidRDefault="00FD1DB0">
      <w:pPr>
        <w:pStyle w:val="Lijstalinea"/>
        <w:ind w:left="1134" w:hanging="414"/>
        <w:jc w:val="both"/>
        <w:rPr>
          <w:rFonts w:cstheme="minorHAnsi"/>
          <w:i/>
          <w:iCs/>
          <w:lang w:val="en-GB"/>
        </w:rPr>
      </w:pPr>
      <w:r>
        <w:rPr>
          <w:rFonts w:cstheme="minorHAnsi"/>
          <w:i/>
          <w:iCs/>
          <w:lang w:val="en-GB"/>
        </w:rPr>
        <w:t>(t)</w:t>
      </w:r>
      <w:r>
        <w:rPr>
          <w:rFonts w:cstheme="minorHAnsi"/>
          <w:i/>
          <w:iCs/>
          <w:lang w:val="en-GB"/>
        </w:rPr>
        <w:tab/>
        <w:t>Applications and authorisations for the use of seals of a special type;</w:t>
      </w:r>
    </w:p>
    <w:p w:rsidR="00366217" w:rsidRDefault="00FD1DB0">
      <w:pPr>
        <w:pStyle w:val="Lijstalinea"/>
        <w:ind w:left="1134" w:hanging="414"/>
        <w:jc w:val="both"/>
        <w:rPr>
          <w:rFonts w:cstheme="minorHAnsi"/>
          <w:i/>
          <w:iCs/>
          <w:lang w:val="en-GB"/>
        </w:rPr>
      </w:pPr>
      <w:r>
        <w:rPr>
          <w:rFonts w:cstheme="minorHAnsi"/>
          <w:i/>
          <w:iCs/>
          <w:lang w:val="en-GB"/>
        </w:rPr>
        <w:t>(u)</w:t>
      </w:r>
      <w:r>
        <w:rPr>
          <w:rFonts w:cstheme="minorHAnsi"/>
          <w:i/>
          <w:iCs/>
          <w:lang w:val="en-GB"/>
        </w:rPr>
        <w:tab/>
        <w:t>Applications and authorisations for the use of a transit declaration with reduced dataset;</w:t>
      </w:r>
    </w:p>
    <w:p w:rsidR="00366217" w:rsidRDefault="00FD1DB0">
      <w:pPr>
        <w:pStyle w:val="Lijstalinea"/>
        <w:ind w:left="1134" w:hanging="414"/>
        <w:jc w:val="both"/>
        <w:rPr>
          <w:rFonts w:cstheme="minorHAnsi"/>
          <w:i/>
          <w:iCs/>
          <w:lang w:val="en-GB"/>
        </w:rPr>
      </w:pPr>
      <w:r>
        <w:rPr>
          <w:rFonts w:cstheme="minorHAnsi"/>
          <w:i/>
          <w:iCs/>
          <w:lang w:val="en-GB"/>
        </w:rPr>
        <w:t>(v)</w:t>
      </w:r>
      <w:r>
        <w:rPr>
          <w:rFonts w:cstheme="minorHAnsi"/>
          <w:i/>
          <w:iCs/>
          <w:lang w:val="en-GB"/>
        </w:rPr>
        <w:tab/>
        <w:t>Applications and authorisations for the use of an electronic transport document as customs declaration.</w:t>
      </w:r>
    </w:p>
    <w:p w:rsidR="00366217" w:rsidRDefault="00FD1DB0">
      <w:pPr>
        <w:pStyle w:val="Lijstalinea"/>
        <w:jc w:val="both"/>
        <w:rPr>
          <w:rFonts w:cstheme="minorHAnsi"/>
          <w:i/>
          <w:iCs/>
          <w:lang w:val="en-GB"/>
        </w:rPr>
      </w:pPr>
      <w:r>
        <w:rPr>
          <w:rFonts w:cstheme="minorHAnsi"/>
          <w:i/>
          <w:iCs/>
          <w:lang w:val="en-GB"/>
        </w:rPr>
        <w:t xml:space="preserve">In the cases referred to in points (g), (h), (i), (l), (m), (n), (o) and (p), and where Member States do not apply Annex A in accordance with the first subparagraph, the data requirements for applications and authorisations shall be those set out in Annex 12 to Commission Delegated Regulation (EU) …/… [TDA]. </w:t>
      </w:r>
    </w:p>
    <w:p w:rsidR="00366217" w:rsidRDefault="00FD1DB0">
      <w:pPr>
        <w:pStyle w:val="Lijstalinea"/>
        <w:jc w:val="both"/>
        <w:rPr>
          <w:rFonts w:cstheme="minorHAnsi"/>
          <w:i/>
          <w:iCs/>
          <w:lang w:val="en-GB"/>
        </w:rPr>
      </w:pPr>
      <w:r>
        <w:rPr>
          <w:rFonts w:cstheme="minorHAnsi"/>
          <w:i/>
          <w:iCs/>
          <w:lang w:val="en-GB"/>
        </w:rPr>
        <w:t>In all the cases not referred to in the previous subparagraph, where Member States use data requirements other than those referred to in Annex A of this Regulation, they shall ensure that these data requirements allow them to verify that the conditions for granting the authorisation concerned are fulfilled.</w:t>
      </w:r>
    </w:p>
    <w:p w:rsidR="00366217" w:rsidRDefault="00FD1DB0">
      <w:pPr>
        <w:pStyle w:val="Lijstalinea"/>
        <w:jc w:val="both"/>
        <w:rPr>
          <w:rFonts w:cstheme="minorHAnsi"/>
          <w:i/>
          <w:iCs/>
          <w:lang w:val="en-GB"/>
        </w:rPr>
      </w:pPr>
      <w:r>
        <w:rPr>
          <w:rFonts w:cstheme="minorHAnsi"/>
          <w:i/>
          <w:iCs/>
          <w:lang w:val="en-GB"/>
        </w:rPr>
        <w:t>2d.</w:t>
      </w:r>
      <w:r>
        <w:rPr>
          <w:rFonts w:cstheme="minorHAnsi"/>
          <w:i/>
          <w:iCs/>
          <w:lang w:val="en-GB"/>
        </w:rPr>
        <w:tab/>
        <w:t>The optionality referred to in paragraph 2c shall not be applied in relation to the following data requirements:</w:t>
      </w:r>
    </w:p>
    <w:p w:rsidR="00366217" w:rsidRDefault="00FD1DB0">
      <w:pPr>
        <w:pStyle w:val="Lijstalinea"/>
        <w:numPr>
          <w:ilvl w:val="0"/>
          <w:numId w:val="26"/>
        </w:numPr>
        <w:jc w:val="both"/>
        <w:rPr>
          <w:rFonts w:cstheme="minorHAnsi"/>
          <w:i/>
          <w:iCs/>
          <w:lang w:val="en-GB"/>
        </w:rPr>
      </w:pPr>
      <w:r>
        <w:rPr>
          <w:rFonts w:cstheme="minorHAnsi"/>
          <w:i/>
          <w:iCs/>
          <w:lang w:val="en-GB"/>
        </w:rPr>
        <w:t>The identification of the applicant/holder of the authorisation (data element 3/2 Applicant/Holder of the authorisation or decision identification or, where lacking a valid EORI number of the applicant, data element 3/1 Applicant/Holder of the authorisation or decision);</w:t>
      </w:r>
    </w:p>
    <w:p w:rsidR="00366217" w:rsidRDefault="00FD1DB0">
      <w:pPr>
        <w:pStyle w:val="Lijstalinea"/>
        <w:numPr>
          <w:ilvl w:val="0"/>
          <w:numId w:val="26"/>
        </w:numPr>
        <w:jc w:val="both"/>
        <w:rPr>
          <w:rFonts w:cstheme="minorHAnsi"/>
          <w:i/>
          <w:iCs/>
          <w:lang w:val="en-GB"/>
        </w:rPr>
      </w:pPr>
      <w:r>
        <w:rPr>
          <w:rFonts w:cstheme="minorHAnsi"/>
          <w:i/>
          <w:iCs/>
          <w:lang w:val="en-GB"/>
        </w:rPr>
        <w:t>The type of application or authorisation (data element 1/1 Application/Decision code type);</w:t>
      </w:r>
    </w:p>
    <w:p w:rsidR="00366217" w:rsidRDefault="00FD1DB0">
      <w:pPr>
        <w:pStyle w:val="Lijstalinea"/>
        <w:numPr>
          <w:ilvl w:val="0"/>
          <w:numId w:val="26"/>
        </w:numPr>
        <w:jc w:val="both"/>
        <w:rPr>
          <w:rFonts w:cstheme="minorHAnsi"/>
          <w:i/>
          <w:iCs/>
          <w:lang w:val="en-GB"/>
        </w:rPr>
      </w:pPr>
      <w:r>
        <w:rPr>
          <w:rFonts w:cstheme="minorHAnsi"/>
          <w:i/>
          <w:iCs/>
          <w:lang w:val="en-GB"/>
        </w:rPr>
        <w:t>The use of the authorisation in one or more Member States (data element 1/4 Geographical validity – Union), where applicable</w:t>
      </w:r>
    </w:p>
    <w:p w:rsidR="00366217" w:rsidRDefault="00FD1DB0">
      <w:pPr>
        <w:pStyle w:val="Lijstalinea"/>
        <w:jc w:val="both"/>
        <w:rPr>
          <w:rFonts w:cstheme="minorHAnsi"/>
          <w:i/>
          <w:iCs/>
          <w:lang w:val="en-GB"/>
        </w:rPr>
      </w:pPr>
      <w:r>
        <w:rPr>
          <w:rFonts w:cstheme="minorHAnsi"/>
          <w:i/>
          <w:iCs/>
          <w:lang w:val="en-GB"/>
        </w:rPr>
        <w:t>2e.</w:t>
      </w:r>
      <w:r>
        <w:rPr>
          <w:rFonts w:cstheme="minorHAnsi"/>
          <w:i/>
          <w:iCs/>
          <w:lang w:val="en-GB"/>
        </w:rPr>
        <w:tab/>
        <w:t>Notwithstanding paragraph 2d, until the respective dates of deployment or upgrading of the AES and National Import Systems, where an application for an authorisation is based on a customs declaration in accordance with Article 163(1) of Commission Delegated Regulation (EU) …/…, the customs declaration shall be supplemented by the following data requirements:</w:t>
      </w:r>
    </w:p>
    <w:p w:rsidR="00366217" w:rsidRDefault="00FD1DB0">
      <w:pPr>
        <w:pStyle w:val="Lijstalinea"/>
        <w:jc w:val="both"/>
        <w:rPr>
          <w:rFonts w:cstheme="minorHAnsi"/>
          <w:i/>
          <w:iCs/>
          <w:lang w:val="en-GB"/>
        </w:rPr>
      </w:pPr>
      <w:r>
        <w:rPr>
          <w:rFonts w:cstheme="minorHAnsi"/>
          <w:i/>
          <w:iCs/>
          <w:lang w:val="en-GB"/>
        </w:rPr>
        <w:t>(a)</w:t>
      </w:r>
      <w:r>
        <w:rPr>
          <w:rFonts w:cstheme="minorHAnsi"/>
          <w:i/>
          <w:iCs/>
          <w:lang w:val="en-GB"/>
        </w:rPr>
        <w:tab/>
        <w:t>Common data requirements:</w:t>
      </w:r>
    </w:p>
    <w:p w:rsidR="00366217" w:rsidRDefault="00FD1DB0">
      <w:pPr>
        <w:pStyle w:val="Lijstalinea"/>
        <w:numPr>
          <w:ilvl w:val="0"/>
          <w:numId w:val="27"/>
        </w:numPr>
        <w:jc w:val="both"/>
        <w:rPr>
          <w:rFonts w:cstheme="minorHAnsi"/>
          <w:i/>
          <w:iCs/>
          <w:lang w:val="en-GB"/>
        </w:rPr>
      </w:pPr>
      <w:r>
        <w:rPr>
          <w:rFonts w:cstheme="minorHAnsi"/>
          <w:i/>
          <w:iCs/>
          <w:lang w:val="en-GB"/>
        </w:rPr>
        <w:t>Nature of the processing or use of the goods;</w:t>
      </w:r>
    </w:p>
    <w:p w:rsidR="00366217" w:rsidRDefault="00FD1DB0">
      <w:pPr>
        <w:pStyle w:val="Lijstalinea"/>
        <w:numPr>
          <w:ilvl w:val="0"/>
          <w:numId w:val="27"/>
        </w:numPr>
        <w:jc w:val="both"/>
        <w:rPr>
          <w:rFonts w:cstheme="minorHAnsi"/>
          <w:i/>
          <w:iCs/>
          <w:lang w:val="en-GB"/>
        </w:rPr>
      </w:pPr>
      <w:r>
        <w:rPr>
          <w:rFonts w:cstheme="minorHAnsi"/>
          <w:i/>
          <w:iCs/>
          <w:lang w:val="en-GB"/>
        </w:rPr>
        <w:t>Technical descriptions of the goods and/or processed products and means of identifying them;</w:t>
      </w:r>
    </w:p>
    <w:p w:rsidR="00366217" w:rsidRDefault="00FD1DB0">
      <w:pPr>
        <w:pStyle w:val="Lijstalinea"/>
        <w:numPr>
          <w:ilvl w:val="0"/>
          <w:numId w:val="27"/>
        </w:numPr>
        <w:jc w:val="both"/>
        <w:rPr>
          <w:rFonts w:cstheme="minorHAnsi"/>
          <w:i/>
          <w:iCs/>
          <w:lang w:val="en-GB"/>
        </w:rPr>
      </w:pPr>
      <w:r>
        <w:rPr>
          <w:rFonts w:cstheme="minorHAnsi"/>
          <w:i/>
          <w:iCs/>
          <w:lang w:val="en-GB"/>
        </w:rPr>
        <w:t>Estimated period for discharge;</w:t>
      </w:r>
    </w:p>
    <w:p w:rsidR="00366217" w:rsidRDefault="00FD1DB0">
      <w:pPr>
        <w:pStyle w:val="Lijstalinea"/>
        <w:numPr>
          <w:ilvl w:val="0"/>
          <w:numId w:val="27"/>
        </w:numPr>
        <w:jc w:val="both"/>
        <w:rPr>
          <w:rFonts w:cstheme="minorHAnsi"/>
          <w:i/>
          <w:iCs/>
          <w:lang w:val="en-GB"/>
        </w:rPr>
      </w:pPr>
      <w:r>
        <w:rPr>
          <w:rFonts w:cstheme="minorHAnsi"/>
          <w:i/>
          <w:iCs/>
          <w:lang w:val="en-GB"/>
        </w:rPr>
        <w:t>Proposed office of discharge (not for end-use); and</w:t>
      </w:r>
    </w:p>
    <w:p w:rsidR="00366217" w:rsidRDefault="00FD1DB0">
      <w:pPr>
        <w:pStyle w:val="Lijstalinea"/>
        <w:numPr>
          <w:ilvl w:val="0"/>
          <w:numId w:val="27"/>
        </w:numPr>
        <w:jc w:val="both"/>
        <w:rPr>
          <w:rFonts w:cstheme="minorHAnsi"/>
          <w:i/>
          <w:iCs/>
          <w:lang w:val="en-GB"/>
        </w:rPr>
      </w:pPr>
      <w:r>
        <w:rPr>
          <w:rFonts w:cstheme="minorHAnsi"/>
          <w:i/>
          <w:iCs/>
          <w:lang w:val="en-GB"/>
        </w:rPr>
        <w:t>Place of processing or use.</w:t>
      </w:r>
    </w:p>
    <w:p w:rsidR="00366217" w:rsidRDefault="00FD1DB0">
      <w:pPr>
        <w:pStyle w:val="Lijstalinea"/>
        <w:jc w:val="both"/>
        <w:rPr>
          <w:rFonts w:cstheme="minorHAnsi"/>
          <w:i/>
          <w:iCs/>
          <w:lang w:val="en-GB"/>
        </w:rPr>
      </w:pPr>
      <w:r>
        <w:rPr>
          <w:rFonts w:cstheme="minorHAnsi"/>
          <w:i/>
          <w:iCs/>
          <w:lang w:val="en-GB"/>
        </w:rPr>
        <w:t>(b)</w:t>
      </w:r>
      <w:r>
        <w:rPr>
          <w:rFonts w:cstheme="minorHAnsi"/>
          <w:i/>
          <w:iCs/>
          <w:lang w:val="en-GB"/>
        </w:rPr>
        <w:tab/>
        <w:t>Specific data elements for inward processing:</w:t>
      </w:r>
    </w:p>
    <w:p w:rsidR="00366217" w:rsidRDefault="00FD1DB0">
      <w:pPr>
        <w:pStyle w:val="Lijstalinea"/>
        <w:numPr>
          <w:ilvl w:val="0"/>
          <w:numId w:val="28"/>
        </w:numPr>
        <w:jc w:val="both"/>
        <w:rPr>
          <w:rFonts w:cstheme="minorHAnsi"/>
          <w:i/>
          <w:iCs/>
          <w:lang w:val="en-GB"/>
        </w:rPr>
      </w:pPr>
      <w:r>
        <w:rPr>
          <w:rFonts w:cstheme="minorHAnsi"/>
          <w:i/>
          <w:iCs/>
          <w:lang w:val="en-GB"/>
        </w:rPr>
        <w:t>Codes of economic conditions referred to in the Appendix to Annex 12 of Commission Delegated Regulation (EU) …/…[TDA];</w:t>
      </w:r>
    </w:p>
    <w:p w:rsidR="00366217" w:rsidRDefault="00FD1DB0">
      <w:pPr>
        <w:pStyle w:val="Lijstalinea"/>
        <w:numPr>
          <w:ilvl w:val="0"/>
          <w:numId w:val="28"/>
        </w:numPr>
        <w:jc w:val="both"/>
        <w:rPr>
          <w:rFonts w:cstheme="minorHAnsi"/>
          <w:i/>
          <w:iCs/>
          <w:lang w:val="en-GB"/>
        </w:rPr>
      </w:pPr>
      <w:r>
        <w:rPr>
          <w:rFonts w:cstheme="minorHAnsi"/>
          <w:i/>
          <w:iCs/>
          <w:lang w:val="en-GB"/>
        </w:rPr>
        <w:t>Estimated rate of yield or method by which that rate is to be determined; and</w:t>
      </w:r>
    </w:p>
    <w:p w:rsidR="00366217" w:rsidRDefault="00FD1DB0">
      <w:pPr>
        <w:pStyle w:val="Lijstalinea"/>
        <w:numPr>
          <w:ilvl w:val="0"/>
          <w:numId w:val="28"/>
        </w:numPr>
        <w:jc w:val="both"/>
        <w:rPr>
          <w:rFonts w:cstheme="minorHAnsi"/>
          <w:lang w:val="en-US"/>
        </w:rPr>
      </w:pPr>
      <w:r>
        <w:rPr>
          <w:rFonts w:cstheme="minorHAnsi"/>
          <w:i/>
          <w:iCs/>
          <w:lang w:val="en-GB"/>
        </w:rPr>
        <w:t>Whether the calculation of the amount of import duty should be made in accordance with Article 86(3) of the Code (indicate 'yes' or 'no').”</w:t>
      </w:r>
    </w:p>
    <w:p w:rsidR="00366217" w:rsidRDefault="00FD1DB0">
      <w:pPr>
        <w:suppressAutoHyphens w:val="0"/>
        <w:spacing w:after="0"/>
        <w:rPr>
          <w:rFonts w:ascii="Calibri" w:eastAsia="Calibri" w:hAnsi="Calibri" w:cstheme="minorHAnsi"/>
          <w:i/>
          <w:iCs/>
          <w:lang w:val="en-GB"/>
        </w:rPr>
      </w:pPr>
      <w:r w:rsidRPr="007E5404">
        <w:rPr>
          <w:lang w:val="en-US"/>
        </w:rPr>
        <w:br w:type="page"/>
      </w:r>
    </w:p>
    <w:p w:rsidR="00366217" w:rsidRDefault="00366217">
      <w:pPr>
        <w:pStyle w:val="Lijstalinea"/>
        <w:jc w:val="both"/>
        <w:rPr>
          <w:rFonts w:ascii="Calibri" w:eastAsia="Calibri" w:hAnsi="Calibri" w:cstheme="minorHAnsi"/>
          <w:lang w:val="en-US"/>
        </w:rPr>
      </w:pPr>
    </w:p>
    <w:p w:rsidR="00366217" w:rsidRDefault="00FD1DB0">
      <w:pPr>
        <w:pStyle w:val="Titredeux"/>
        <w:numPr>
          <w:ilvl w:val="1"/>
          <w:numId w:val="1"/>
        </w:numPr>
        <w:ind w:left="-142" w:firstLine="0"/>
        <w:jc w:val="both"/>
        <w:rPr>
          <w:rFonts w:cstheme="minorHAnsi"/>
        </w:rPr>
      </w:pPr>
      <w:r>
        <w:rPr>
          <w:rFonts w:cstheme="minorHAnsi"/>
          <w:u w:val="none"/>
          <w:lang w:val="en-US"/>
        </w:rPr>
        <w:t xml:space="preserve"> </w:t>
      </w:r>
      <w:bookmarkStart w:id="36" w:name="_Toc438135724"/>
      <w:r>
        <w:rPr>
          <w:rFonts w:cstheme="minorHAnsi"/>
        </w:rPr>
        <w:t>CONCLUSIE</w:t>
      </w:r>
      <w:bookmarkEnd w:id="36"/>
      <w:r>
        <w:rPr>
          <w:rFonts w:cstheme="minorHAnsi"/>
          <w:color w:val="00000A"/>
        </w:rPr>
        <w:t xml:space="preserve"> </w:t>
      </w:r>
    </w:p>
    <w:p w:rsidR="00366217" w:rsidRDefault="00FD1DB0">
      <w:pPr>
        <w:pStyle w:val="Lijstalinea"/>
        <w:ind w:left="-142"/>
        <w:jc w:val="both"/>
        <w:rPr>
          <w:rFonts w:cstheme="minorHAnsi"/>
          <w:b/>
          <w:bCs/>
        </w:rPr>
      </w:pPr>
      <w:r>
        <w:rPr>
          <w:rFonts w:cstheme="minorHAnsi"/>
          <w:b/>
          <w:bCs/>
        </w:rPr>
        <w:t>GEEN BIG BANG maar evolutie stap voor stap!</w:t>
      </w: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366217">
      <w:pPr>
        <w:pStyle w:val="Lijstalinea"/>
        <w:ind w:left="-142" w:firstLine="850"/>
        <w:jc w:val="right"/>
      </w:pPr>
    </w:p>
    <w:p w:rsidR="00366217" w:rsidRDefault="00FD1DB0">
      <w:pPr>
        <w:pStyle w:val="Lijstalinea"/>
        <w:tabs>
          <w:tab w:val="left" w:pos="4530"/>
        </w:tabs>
        <w:jc w:val="right"/>
      </w:pPr>
      <w:r>
        <w:rPr>
          <w:rFonts w:cstheme="minorHAnsi"/>
          <w:b/>
          <w:bCs/>
        </w:rPr>
        <w:t xml:space="preserve">Informatief document gezamenlijk </w:t>
      </w:r>
    </w:p>
    <w:p w:rsidR="00366217" w:rsidRDefault="00FD1DB0">
      <w:pPr>
        <w:pStyle w:val="Lijstalinea"/>
        <w:ind w:left="-142" w:firstLine="850"/>
        <w:jc w:val="right"/>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opgesteld door : </w:t>
      </w:r>
      <w:r>
        <w:rPr>
          <w:rFonts w:cstheme="minorHAnsi"/>
        </w:rPr>
        <w:t xml:space="preserve">par Anne-Marie , Els, </w:t>
      </w:r>
      <w:r>
        <w:rPr>
          <w:rFonts w:cstheme="minorHAnsi"/>
        </w:rPr>
        <w:tab/>
      </w:r>
      <w:r>
        <w:rPr>
          <w:rFonts w:cstheme="minorHAnsi"/>
        </w:rPr>
        <w:tab/>
      </w:r>
      <w:r>
        <w:rPr>
          <w:rFonts w:cstheme="minorHAnsi"/>
        </w:rPr>
        <w:tab/>
        <w:t xml:space="preserve">Immle , Mohammed , Olivier , Stéphane  et Joëlle </w:t>
      </w:r>
      <w:r>
        <w:rPr>
          <w:rFonts w:cstheme="minorHAnsi"/>
          <w:b/>
          <w:bCs/>
        </w:rPr>
        <w:t xml:space="preserve"> </w:t>
      </w: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ind w:left="-142"/>
        <w:jc w:val="both"/>
        <w:rPr>
          <w:rFonts w:ascii="Calibri" w:eastAsia="Calibri" w:hAnsi="Calibri" w:cstheme="minorHAnsi"/>
          <w:b/>
          <w:bCs/>
        </w:rPr>
      </w:pPr>
    </w:p>
    <w:p w:rsidR="00366217" w:rsidRDefault="00366217">
      <w:pPr>
        <w:pStyle w:val="Lijstalinea"/>
        <w:jc w:val="both"/>
        <w:rPr>
          <w:rFonts w:ascii="Calibri" w:eastAsia="Calibri" w:hAnsi="Calibri" w:cstheme="minorHAnsi"/>
        </w:rPr>
      </w:pPr>
    </w:p>
    <w:p w:rsidR="00366217" w:rsidRDefault="00366217">
      <w:pPr>
        <w:pStyle w:val="Lijstalinea"/>
        <w:jc w:val="both"/>
        <w:rPr>
          <w:rFonts w:ascii="Calibri" w:eastAsia="Calibri" w:hAnsi="Calibri" w:cstheme="minorHAnsi"/>
        </w:rPr>
      </w:pPr>
    </w:p>
    <w:p w:rsidR="00366217" w:rsidRDefault="00366217">
      <w:pPr>
        <w:pStyle w:val="Lijstalinea"/>
        <w:jc w:val="both"/>
        <w:rPr>
          <w:rFonts w:ascii="Calibri" w:eastAsia="Calibri" w:hAnsi="Calibri" w:cstheme="minorHAnsi"/>
        </w:rPr>
      </w:pPr>
    </w:p>
    <w:p w:rsidR="00366217" w:rsidRDefault="00366217">
      <w:pPr>
        <w:pStyle w:val="Lijstalinea"/>
        <w:jc w:val="both"/>
        <w:rPr>
          <w:rFonts w:ascii="Calibri" w:eastAsia="Calibri" w:hAnsi="Calibri" w:cstheme="minorHAnsi"/>
        </w:rPr>
      </w:pPr>
    </w:p>
    <w:p w:rsidR="00366217" w:rsidRDefault="00366217">
      <w:pPr>
        <w:pStyle w:val="Lijstalinea"/>
        <w:jc w:val="both"/>
        <w:rPr>
          <w:rFonts w:ascii="Calibri" w:eastAsia="Calibri" w:hAnsi="Calibri" w:cstheme="minorHAnsi"/>
        </w:rPr>
      </w:pPr>
    </w:p>
    <w:p w:rsidR="00366217" w:rsidRDefault="00366217">
      <w:pPr>
        <w:pStyle w:val="Lijstalinea"/>
        <w:jc w:val="both"/>
        <w:rPr>
          <w:rFonts w:ascii="Calibri" w:eastAsia="Calibri" w:hAnsi="Calibri" w:cstheme="minorHAnsi"/>
        </w:rPr>
      </w:pPr>
    </w:p>
    <w:p w:rsidR="00366217" w:rsidRDefault="00366217">
      <w:pPr>
        <w:pStyle w:val="Lijstalinea"/>
        <w:jc w:val="both"/>
        <w:rPr>
          <w:rFonts w:ascii="Calibri" w:eastAsia="Calibri" w:hAnsi="Calibri" w:cstheme="minorHAnsi"/>
        </w:rPr>
      </w:pPr>
    </w:p>
    <w:p w:rsidR="00366217" w:rsidRDefault="00366217">
      <w:pPr>
        <w:pStyle w:val="Lijstalinea"/>
        <w:jc w:val="both"/>
        <w:rPr>
          <w:rFonts w:ascii="Calibri" w:eastAsia="Calibri" w:hAnsi="Calibri" w:cstheme="minorHAnsi"/>
        </w:rPr>
      </w:pPr>
    </w:p>
    <w:p w:rsidR="00366217" w:rsidRDefault="00366217">
      <w:pPr>
        <w:pStyle w:val="Lijstalinea"/>
        <w:jc w:val="both"/>
        <w:rPr>
          <w:rFonts w:ascii="Calibri" w:eastAsia="Calibri" w:hAnsi="Calibri" w:cstheme="minorHAnsi"/>
        </w:rPr>
      </w:pPr>
    </w:p>
    <w:p w:rsidR="00366217" w:rsidRDefault="00366217">
      <w:pPr>
        <w:pStyle w:val="Lijstalinea"/>
        <w:jc w:val="both"/>
        <w:rPr>
          <w:rFonts w:ascii="Calibri" w:eastAsia="Calibri" w:hAnsi="Calibri" w:cstheme="minorHAnsi"/>
        </w:rPr>
      </w:pPr>
    </w:p>
    <w:p w:rsidR="00366217" w:rsidRDefault="00366217">
      <w:pPr>
        <w:pStyle w:val="Lijstalinea"/>
        <w:jc w:val="both"/>
        <w:rPr>
          <w:rFonts w:ascii="Calibri" w:eastAsia="Calibri" w:hAnsi="Calibri" w:cstheme="minorHAnsi"/>
        </w:rPr>
      </w:pPr>
    </w:p>
    <w:p w:rsidR="00366217" w:rsidRDefault="00FD1DB0">
      <w:pPr>
        <w:jc w:val="both"/>
      </w:pPr>
      <w:r>
        <w:rPr>
          <w:rFonts w:cstheme="minorHAnsi"/>
          <w:b/>
          <w:sz w:val="28"/>
          <w:szCs w:val="28"/>
          <w:u w:val="single"/>
        </w:rPr>
        <w:t>Bijlage</w:t>
      </w:r>
    </w:p>
    <w:p w:rsidR="00366217" w:rsidRDefault="00366217">
      <w:pPr>
        <w:pStyle w:val="Lijstalinea"/>
        <w:jc w:val="both"/>
        <w:rPr>
          <w:rFonts w:ascii="Arial" w:eastAsia="Arial Unicode MS" w:hAnsi="Arial" w:cs="Arial Unicode MS"/>
          <w:sz w:val="20"/>
          <w:szCs w:val="24"/>
          <w:lang w:eastAsia="hi-IN" w:bidi="hi-IN"/>
        </w:rPr>
      </w:pPr>
    </w:p>
    <w:tbl>
      <w:tblPr>
        <w:tblW w:w="9469" w:type="dxa"/>
        <w:tblCellMar>
          <w:left w:w="0" w:type="dxa"/>
          <w:right w:w="0" w:type="dxa"/>
        </w:tblCellMar>
        <w:tblLook w:val="04A0" w:firstRow="1" w:lastRow="0" w:firstColumn="1" w:lastColumn="0" w:noHBand="0" w:noVBand="1"/>
      </w:tblPr>
      <w:tblGrid>
        <w:gridCol w:w="2378"/>
        <w:gridCol w:w="7091"/>
      </w:tblGrid>
      <w:tr w:rsidR="00366217" w:rsidRPr="007E5404">
        <w:trPr>
          <w:trHeight w:val="1440"/>
        </w:trPr>
        <w:tc>
          <w:tcPr>
            <w:tcW w:w="2378" w:type="dxa"/>
            <w:shd w:val="clear" w:color="auto" w:fill="auto"/>
          </w:tcPr>
          <w:p w:rsidR="00366217" w:rsidRDefault="00FD1DB0">
            <w:pPr>
              <w:widowControl w:val="0"/>
              <w:suppressAutoHyphens w:val="0"/>
              <w:spacing w:after="0" w:line="240" w:lineRule="auto"/>
              <w:ind w:right="85"/>
              <w:jc w:val="both"/>
              <w:rPr>
                <w:rFonts w:ascii="Arial" w:eastAsia="Times New Roman" w:hAnsi="Arial" w:cs="Arial"/>
                <w:sz w:val="24"/>
                <w:szCs w:val="24"/>
                <w:lang w:val="en-GB" w:eastAsia="en-GB"/>
              </w:rPr>
            </w:pPr>
            <w:r>
              <w:rPr>
                <w:noProof/>
                <w:lang w:eastAsia="nl-BE"/>
              </w:rPr>
              <w:drawing>
                <wp:inline distT="0" distB="0" distL="0" distR="0">
                  <wp:extent cx="1363980" cy="674370"/>
                  <wp:effectExtent l="0" t="0" r="0" b="0"/>
                  <wp:docPr id="2" name="Picture"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_ec_17_colors_300dpi"/>
                          <pic:cNvPicPr>
                            <a:picLocks noChangeAspect="1" noChangeArrowheads="1"/>
                          </pic:cNvPicPr>
                        </pic:nvPicPr>
                        <pic:blipFill>
                          <a:blip r:embed="rId9"/>
                          <a:stretch>
                            <a:fillRect/>
                          </a:stretch>
                        </pic:blipFill>
                        <pic:spPr bwMode="auto">
                          <a:xfrm>
                            <a:off x="0" y="0"/>
                            <a:ext cx="1363980" cy="674370"/>
                          </a:xfrm>
                          <a:prstGeom prst="rect">
                            <a:avLst/>
                          </a:prstGeom>
                          <a:noFill/>
                          <a:ln w="9525">
                            <a:noFill/>
                            <a:miter lim="800000"/>
                            <a:headEnd/>
                            <a:tailEnd/>
                          </a:ln>
                        </pic:spPr>
                      </pic:pic>
                    </a:graphicData>
                  </a:graphic>
                </wp:inline>
              </w:drawing>
            </w:r>
          </w:p>
        </w:tc>
        <w:tc>
          <w:tcPr>
            <w:tcW w:w="7090" w:type="dxa"/>
            <w:shd w:val="clear" w:color="auto" w:fill="auto"/>
          </w:tcPr>
          <w:p w:rsidR="00366217" w:rsidRDefault="00FD1DB0">
            <w:pPr>
              <w:widowControl w:val="0"/>
              <w:suppressAutoHyphens w:val="0"/>
              <w:spacing w:before="90" w:after="0" w:line="240" w:lineRule="auto"/>
              <w:ind w:right="85"/>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EUROPEAN COMMISSION</w:t>
            </w:r>
          </w:p>
          <w:p w:rsidR="00366217" w:rsidRDefault="00FD1DB0">
            <w:pPr>
              <w:widowControl w:val="0"/>
              <w:suppressAutoHyphens w:val="0"/>
              <w:spacing w:after="0" w:line="240" w:lineRule="auto"/>
              <w:ind w:right="85"/>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DIRECTORATE-GENERAL </w:t>
            </w:r>
          </w:p>
          <w:p w:rsidR="00366217" w:rsidRDefault="00FD1DB0">
            <w:pPr>
              <w:widowControl w:val="0"/>
              <w:suppressAutoHyphens w:val="0"/>
              <w:spacing w:after="0" w:line="240" w:lineRule="auto"/>
              <w:ind w:right="85"/>
              <w:rPr>
                <w:rFonts w:ascii="Arial" w:eastAsia="Times New Roman" w:hAnsi="Arial" w:cs="Arial"/>
                <w:sz w:val="16"/>
                <w:szCs w:val="16"/>
                <w:lang w:val="en-GB" w:eastAsia="en-GB"/>
              </w:rPr>
            </w:pPr>
            <w:r>
              <w:rPr>
                <w:rFonts w:ascii="Arial" w:eastAsia="Times New Roman" w:hAnsi="Arial" w:cs="Arial"/>
                <w:sz w:val="16"/>
                <w:szCs w:val="16"/>
                <w:lang w:val="en-GB" w:eastAsia="en-GB"/>
              </w:rPr>
              <w:t>TAXATION AND CUSTOMS UNION</w:t>
            </w:r>
          </w:p>
          <w:p w:rsidR="00366217" w:rsidRDefault="00FD1DB0">
            <w:pPr>
              <w:widowControl w:val="0"/>
              <w:suppressAutoHyphens w:val="0"/>
              <w:spacing w:after="0" w:line="240" w:lineRule="auto"/>
              <w:ind w:right="85"/>
              <w:rPr>
                <w:rFonts w:ascii="Arial" w:eastAsia="Times New Roman" w:hAnsi="Arial" w:cs="Arial"/>
                <w:sz w:val="16"/>
                <w:szCs w:val="16"/>
                <w:lang w:val="en-GB" w:eastAsia="en-GB"/>
              </w:rPr>
            </w:pPr>
            <w:r>
              <w:rPr>
                <w:rFonts w:ascii="Arial" w:eastAsia="Times New Roman" w:hAnsi="Arial" w:cs="Arial"/>
                <w:sz w:val="16"/>
                <w:szCs w:val="16"/>
                <w:lang w:val="en-GB" w:eastAsia="en-GB"/>
              </w:rPr>
              <w:t>Customs Policy, Legislation, Tariff</w:t>
            </w:r>
          </w:p>
          <w:p w:rsidR="00366217" w:rsidRDefault="00FD1DB0">
            <w:pPr>
              <w:widowControl w:val="0"/>
              <w:suppressAutoHyphens w:val="0"/>
              <w:spacing w:after="0" w:line="240" w:lineRule="auto"/>
              <w:ind w:right="85"/>
              <w:rPr>
                <w:rFonts w:ascii="Arial" w:eastAsia="Times New Roman" w:hAnsi="Arial" w:cs="Arial"/>
                <w:sz w:val="16"/>
                <w:szCs w:val="16"/>
                <w:lang w:val="en-GB" w:eastAsia="en-GB"/>
              </w:rPr>
            </w:pPr>
            <w:r>
              <w:rPr>
                <w:rFonts w:ascii="Arial" w:eastAsia="Times New Roman" w:hAnsi="Arial" w:cs="Arial"/>
                <w:b/>
                <w:bCs/>
                <w:sz w:val="16"/>
                <w:szCs w:val="16"/>
                <w:lang w:val="en-GB" w:eastAsia="en-GB"/>
              </w:rPr>
              <w:t>Customs Processes and Project Management</w:t>
            </w:r>
          </w:p>
          <w:p w:rsidR="00366217" w:rsidRDefault="00366217">
            <w:pPr>
              <w:widowControl w:val="0"/>
              <w:suppressAutoHyphens w:val="0"/>
              <w:spacing w:after="0" w:line="240" w:lineRule="auto"/>
              <w:ind w:right="85"/>
              <w:rPr>
                <w:rFonts w:ascii="Arial" w:eastAsia="Times New Roman" w:hAnsi="Arial" w:cs="Arial"/>
                <w:sz w:val="16"/>
                <w:szCs w:val="16"/>
                <w:lang w:val="en-GB" w:eastAsia="en-GB"/>
              </w:rPr>
            </w:pPr>
          </w:p>
        </w:tc>
      </w:tr>
    </w:tbl>
    <w:p w:rsidR="00366217" w:rsidRDefault="00366217">
      <w:pPr>
        <w:spacing w:before="120" w:after="120" w:line="240" w:lineRule="auto"/>
        <w:jc w:val="both"/>
        <w:rPr>
          <w:rFonts w:ascii="Times New Roman" w:eastAsia="Times New Roman" w:hAnsi="Times New Roman" w:cs="Times New Roman"/>
          <w:color w:val="000000"/>
          <w:sz w:val="24"/>
          <w:szCs w:val="24"/>
          <w:lang w:val="en-US" w:eastAsia="ar-SA"/>
        </w:rPr>
      </w:pPr>
    </w:p>
    <w:p w:rsidR="00366217" w:rsidRDefault="00FD1DB0">
      <w:pPr>
        <w:spacing w:after="0" w:line="240" w:lineRule="auto"/>
        <w:ind w:left="5103"/>
        <w:rPr>
          <w:rFonts w:ascii="Calibri" w:eastAsia="Arial Unicode MS" w:hAnsi="Calibri" w:cs="Arial Unicode MS"/>
          <w:color w:val="000000"/>
          <w:sz w:val="28"/>
          <w:szCs w:val="28"/>
          <w:lang w:val="da-DK" w:eastAsia="hi-IN" w:bidi="hi-IN"/>
        </w:rPr>
      </w:pPr>
      <w:r>
        <w:rPr>
          <w:rFonts w:eastAsia="Arial Unicode MS" w:cs="Arial Unicode MS"/>
          <w:color w:val="000000"/>
          <w:sz w:val="24"/>
          <w:szCs w:val="24"/>
          <w:lang w:val="da-DK" w:eastAsia="hi-IN" w:bidi="hi-IN"/>
        </w:rPr>
        <w:t>Brussels, 18 December 2015</w:t>
      </w:r>
      <w:r>
        <w:rPr>
          <w:rFonts w:eastAsia="Arial Unicode MS" w:cs="Arial Unicode MS"/>
          <w:color w:val="000000"/>
          <w:sz w:val="24"/>
          <w:szCs w:val="24"/>
          <w:lang w:val="da-DK" w:eastAsia="hi-IN" w:bidi="hi-IN"/>
        </w:rPr>
        <w:br/>
      </w:r>
      <w:r>
        <w:rPr>
          <w:rFonts w:ascii="Times New Roman" w:eastAsia="Arial Unicode MS" w:hAnsi="Times New Roman" w:cs="Arial Unicode MS"/>
          <w:lang w:val="da-DK" w:eastAsia="hi-IN" w:bidi="hi-IN"/>
        </w:rPr>
        <w:t>TAXUD A3(2015)</w:t>
      </w:r>
      <w:r>
        <w:rPr>
          <w:rFonts w:ascii="Times New Roman" w:eastAsia="Arial Unicode MS" w:hAnsi="Times New Roman" w:cs="Arial Unicode MS"/>
          <w:color w:val="000000"/>
          <w:sz w:val="24"/>
          <w:szCs w:val="24"/>
          <w:lang w:val="da-DK" w:eastAsia="hi-IN" w:bidi="hi-IN"/>
        </w:rPr>
        <w:t xml:space="preserve"> </w:t>
      </w:r>
      <w:r>
        <w:rPr>
          <w:rFonts w:ascii="Times New Roman" w:eastAsia="Arial Unicode MS" w:hAnsi="Times New Roman" w:cs="Arial Unicode MS"/>
          <w:color w:val="000000"/>
          <w:sz w:val="24"/>
          <w:szCs w:val="24"/>
          <w:lang w:val="en-US" w:eastAsia="hi-IN" w:bidi="hi-IN"/>
        </w:rPr>
        <w:t>6572224</w:t>
      </w:r>
    </w:p>
    <w:p w:rsidR="00366217" w:rsidRDefault="00FD1DB0">
      <w:pPr>
        <w:tabs>
          <w:tab w:val="left" w:pos="5103"/>
        </w:tabs>
        <w:spacing w:before="360" w:after="0" w:line="240" w:lineRule="auto"/>
        <w:ind w:left="5102"/>
        <w:jc w:val="both"/>
        <w:rPr>
          <w:rFonts w:ascii="Calibri" w:eastAsia="Arial Unicode MS" w:hAnsi="Calibri" w:cs="Arial Unicode MS"/>
          <w:b/>
          <w:color w:val="000000"/>
          <w:sz w:val="24"/>
          <w:szCs w:val="24"/>
          <w:lang w:val="da-DK" w:eastAsia="hi-IN" w:bidi="hi-IN"/>
        </w:rPr>
      </w:pPr>
      <w:r>
        <w:rPr>
          <w:rFonts w:eastAsia="Arial Unicode MS" w:cs="Arial Unicode MS"/>
          <w:b/>
          <w:color w:val="000000"/>
          <w:sz w:val="24"/>
          <w:szCs w:val="24"/>
          <w:lang w:val="da-DK" w:eastAsia="hi-IN" w:bidi="hi-IN"/>
        </w:rPr>
        <w:t>DIH 15/014</w:t>
      </w:r>
    </w:p>
    <w:p w:rsidR="00366217" w:rsidRDefault="00FD1DB0">
      <w:pPr>
        <w:spacing w:before="240" w:after="240" w:line="240" w:lineRule="auto"/>
        <w:ind w:left="5103"/>
        <w:jc w:val="both"/>
        <w:rPr>
          <w:rFonts w:ascii="Calibri" w:eastAsia="Arial Unicode MS" w:hAnsi="Calibri" w:cs="Arial Unicode MS"/>
          <w:color w:val="000000"/>
          <w:sz w:val="24"/>
          <w:szCs w:val="24"/>
          <w:u w:val="single"/>
          <w:lang w:val="en-US" w:eastAsia="hi-IN" w:bidi="hi-IN"/>
        </w:rPr>
      </w:pPr>
      <w:r>
        <w:rPr>
          <w:rFonts w:eastAsia="Arial Unicode MS" w:cs="Arial Unicode MS"/>
          <w:color w:val="000000"/>
          <w:sz w:val="28"/>
          <w:szCs w:val="28"/>
          <w:u w:val="single"/>
          <w:lang w:val="en-US" w:eastAsia="hi-IN" w:bidi="hi-IN"/>
        </w:rPr>
        <w:t>Working document</w:t>
      </w:r>
      <w:r>
        <w:rPr>
          <w:rFonts w:eastAsia="Arial Unicode MS" w:cs="Arial Unicode MS"/>
          <w:color w:val="000000"/>
          <w:sz w:val="24"/>
          <w:szCs w:val="24"/>
          <w:u w:val="single"/>
          <w:lang w:val="en-US" w:eastAsia="hi-IN" w:bidi="hi-IN"/>
        </w:rPr>
        <w:t xml:space="preserve"> </w:t>
      </w:r>
    </w:p>
    <w:p w:rsidR="00366217" w:rsidRDefault="00366217">
      <w:pPr>
        <w:spacing w:before="360" w:after="0" w:line="240" w:lineRule="auto"/>
        <w:jc w:val="center"/>
        <w:rPr>
          <w:rFonts w:ascii="Calibri" w:eastAsia="Arial Unicode MS" w:hAnsi="Calibri" w:cs="Arial Unicode MS"/>
          <w:color w:val="000000"/>
          <w:sz w:val="24"/>
          <w:szCs w:val="24"/>
          <w:lang w:val="en-US" w:eastAsia="hi-IN" w:bidi="hi-IN"/>
        </w:rPr>
      </w:pPr>
    </w:p>
    <w:p w:rsidR="00366217" w:rsidRDefault="00366217">
      <w:pPr>
        <w:spacing w:before="360" w:after="0" w:line="240" w:lineRule="auto"/>
        <w:jc w:val="center"/>
        <w:rPr>
          <w:rFonts w:ascii="Calibri" w:eastAsia="Arial Unicode MS" w:hAnsi="Calibri" w:cs="Arial Unicode MS"/>
          <w:color w:val="000000"/>
          <w:sz w:val="24"/>
          <w:szCs w:val="24"/>
          <w:lang w:val="en-US" w:eastAsia="hi-IN" w:bidi="hi-IN"/>
        </w:rPr>
      </w:pPr>
    </w:p>
    <w:p w:rsidR="00366217" w:rsidRDefault="00FD1DB0">
      <w:pPr>
        <w:spacing w:after="0" w:line="240" w:lineRule="auto"/>
        <w:jc w:val="center"/>
        <w:rPr>
          <w:rFonts w:ascii="TimesNewRoman" w:eastAsia="Times New Roman" w:hAnsi="TimesNewRoman" w:cs="TimesNewRoman"/>
          <w:b/>
          <w:color w:val="000000"/>
          <w:sz w:val="24"/>
          <w:szCs w:val="24"/>
          <w:lang w:val="en-US" w:eastAsia="en-GB" w:bidi="hi-IN"/>
        </w:rPr>
      </w:pPr>
      <w:r>
        <w:rPr>
          <w:rFonts w:ascii="TimesNewRoman" w:eastAsia="Times New Roman" w:hAnsi="TimesNewRoman" w:cs="TimesNewRoman"/>
          <w:b/>
          <w:color w:val="000000"/>
          <w:sz w:val="24"/>
          <w:szCs w:val="24"/>
          <w:lang w:val="en-US" w:eastAsia="en-GB" w:bidi="hi-IN"/>
        </w:rPr>
        <w:t>ANNEX A APPLICATIONS AND DECISIONS TYPE CODES</w:t>
      </w:r>
    </w:p>
    <w:p w:rsidR="00366217" w:rsidRDefault="00FD1DB0">
      <w:pPr>
        <w:spacing w:after="0" w:line="240" w:lineRule="auto"/>
        <w:jc w:val="center"/>
        <w:rPr>
          <w:rFonts w:ascii="TimesNewRoman" w:eastAsia="Times New Roman" w:hAnsi="TimesNewRoman" w:cs="TimesNewRoman"/>
          <w:b/>
          <w:color w:val="000000"/>
          <w:sz w:val="24"/>
          <w:szCs w:val="24"/>
          <w:lang w:val="en-US" w:eastAsia="en-GB" w:bidi="hi-IN"/>
        </w:rPr>
      </w:pPr>
      <w:r>
        <w:rPr>
          <w:rFonts w:ascii="TimesNewRoman" w:eastAsia="Times New Roman" w:hAnsi="TimesNewRoman" w:cs="TimesNewRoman"/>
          <w:b/>
          <w:color w:val="000000"/>
          <w:sz w:val="24"/>
          <w:szCs w:val="24"/>
          <w:lang w:val="en-US" w:eastAsia="en-GB" w:bidi="hi-IN"/>
        </w:rPr>
        <w:t xml:space="preserve"> </w:t>
      </w:r>
    </w:p>
    <w:p w:rsidR="00366217" w:rsidRDefault="00366217">
      <w:pPr>
        <w:spacing w:after="0" w:line="240" w:lineRule="auto"/>
        <w:jc w:val="center"/>
        <w:rPr>
          <w:rFonts w:ascii="TimesNewRoman" w:eastAsia="Times New Roman" w:hAnsi="TimesNewRoman" w:cs="TimesNewRoman"/>
          <w:b/>
          <w:color w:val="000000"/>
          <w:sz w:val="24"/>
          <w:szCs w:val="24"/>
          <w:lang w:val="en-US" w:eastAsia="en-GB" w:bidi="hi-IN"/>
        </w:rPr>
      </w:pPr>
    </w:p>
    <w:p w:rsidR="00366217" w:rsidRDefault="00366217">
      <w:pPr>
        <w:spacing w:after="0" w:line="240" w:lineRule="auto"/>
        <w:jc w:val="center"/>
        <w:rPr>
          <w:rFonts w:ascii="TimesNewRoman" w:eastAsia="Times New Roman" w:hAnsi="TimesNewRoman" w:cs="TimesNewRoman"/>
          <w:b/>
          <w:color w:val="000000"/>
          <w:sz w:val="24"/>
          <w:szCs w:val="24"/>
          <w:lang w:val="en-US" w:eastAsia="en-GB" w:bidi="hi-IN"/>
        </w:rPr>
      </w:pPr>
    </w:p>
    <w:p w:rsidR="00366217" w:rsidRDefault="00366217">
      <w:pPr>
        <w:spacing w:after="0" w:line="240" w:lineRule="auto"/>
        <w:jc w:val="center"/>
        <w:rPr>
          <w:rFonts w:ascii="TimesNewRoman" w:eastAsia="Times New Roman" w:hAnsi="TimesNewRoman" w:cs="TimesNewRoman"/>
          <w:b/>
          <w:color w:val="000000"/>
          <w:sz w:val="24"/>
          <w:szCs w:val="24"/>
          <w:lang w:val="en-US" w:eastAsia="en-GB" w:bidi="hi-IN"/>
        </w:rPr>
      </w:pPr>
    </w:p>
    <w:p w:rsidR="00366217" w:rsidRDefault="00366217">
      <w:pPr>
        <w:spacing w:after="0" w:line="240" w:lineRule="auto"/>
        <w:jc w:val="center"/>
        <w:rPr>
          <w:rFonts w:ascii="TimesNewRoman" w:eastAsia="Times New Roman" w:hAnsi="TimesNewRoman" w:cs="TimesNewRoman"/>
          <w:b/>
          <w:color w:val="000000"/>
          <w:sz w:val="24"/>
          <w:szCs w:val="24"/>
          <w:lang w:val="en-US" w:eastAsia="en-GB" w:bidi="hi-IN"/>
        </w:rPr>
      </w:pPr>
    </w:p>
    <w:p w:rsidR="00366217" w:rsidRDefault="00FD1DB0">
      <w:pPr>
        <w:spacing w:after="0" w:line="240" w:lineRule="auto"/>
        <w:jc w:val="center"/>
        <w:rPr>
          <w:rFonts w:ascii="Calibri" w:eastAsia="Times New Roman Bold" w:hAnsi="Calibri" w:cs="Times New Roman Bold"/>
          <w:b/>
          <w:smallCaps/>
          <w:color w:val="000000"/>
          <w:sz w:val="28"/>
          <w:szCs w:val="28"/>
          <w:lang w:val="en-US" w:eastAsia="hi-IN" w:bidi="hi-IN"/>
        </w:rPr>
      </w:pPr>
      <w:r>
        <w:rPr>
          <w:rFonts w:eastAsia="Times New Roman Bold" w:cs="Times New Roman Bold"/>
          <w:b/>
          <w:smallCaps/>
          <w:color w:val="000000"/>
          <w:sz w:val="28"/>
          <w:szCs w:val="28"/>
          <w:lang w:val="en-US" w:eastAsia="hi-IN" w:bidi="hi-IN"/>
        </w:rPr>
        <w:t>Document history</w:t>
      </w:r>
    </w:p>
    <w:p w:rsidR="00366217" w:rsidRDefault="00366217">
      <w:pPr>
        <w:spacing w:after="0" w:line="240" w:lineRule="auto"/>
        <w:jc w:val="center"/>
        <w:rPr>
          <w:rFonts w:ascii="Calibri" w:eastAsia="Times New Roman Bold" w:hAnsi="Calibri" w:cs="Times New Roman Bold"/>
          <w:b/>
          <w:smallCaps/>
          <w:color w:val="000000"/>
          <w:sz w:val="28"/>
          <w:szCs w:val="28"/>
          <w:lang w:val="en-US" w:eastAsia="hi-IN" w:bidi="hi-IN"/>
        </w:rPr>
      </w:pPr>
    </w:p>
    <w:tbl>
      <w:tblPr>
        <w:tblW w:w="8927" w:type="dxa"/>
        <w:tblInd w:w="3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418"/>
        <w:gridCol w:w="1418"/>
        <w:gridCol w:w="2975"/>
        <w:gridCol w:w="3116"/>
      </w:tblGrid>
      <w:tr w:rsidR="00366217">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Calibri" w:eastAsia="Times New Roman" w:hAnsi="Calibri" w:cs="Times New Roman"/>
                <w:color w:val="000000"/>
                <w:sz w:val="24"/>
                <w:szCs w:val="24"/>
                <w:lang w:val="en-US" w:eastAsia="ar-SA"/>
              </w:rPr>
            </w:pPr>
            <w:r>
              <w:rPr>
                <w:rFonts w:eastAsia="Times New Roman" w:cs="Times New Roman"/>
                <w:color w:val="000000"/>
                <w:sz w:val="24"/>
                <w:szCs w:val="24"/>
                <w:lang w:val="en-US" w:eastAsia="ar-SA"/>
              </w:rPr>
              <w:t>Revision No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Calibri" w:eastAsia="Times New Roman" w:hAnsi="Calibri" w:cs="Times New Roman"/>
                <w:color w:val="000000"/>
                <w:sz w:val="24"/>
                <w:szCs w:val="24"/>
                <w:lang w:val="en-US" w:eastAsia="ar-SA"/>
              </w:rPr>
            </w:pPr>
            <w:r>
              <w:rPr>
                <w:rFonts w:eastAsia="Times New Roman" w:cs="Times New Roman"/>
                <w:color w:val="000000"/>
                <w:sz w:val="24"/>
                <w:szCs w:val="24"/>
                <w:lang w:val="en-US" w:eastAsia="ar-SA"/>
              </w:rPr>
              <w:t>Date</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Calibri" w:eastAsia="Times New Roman" w:hAnsi="Calibri" w:cs="Times New Roman"/>
                <w:color w:val="000000"/>
                <w:sz w:val="24"/>
                <w:szCs w:val="24"/>
                <w:lang w:val="en-US" w:eastAsia="ar-SA"/>
              </w:rPr>
            </w:pPr>
            <w:r>
              <w:rPr>
                <w:rFonts w:eastAsia="Times New Roman" w:cs="Times New Roman"/>
                <w:color w:val="000000"/>
                <w:sz w:val="24"/>
                <w:szCs w:val="24"/>
                <w:lang w:val="en-US" w:eastAsia="ar-SA"/>
              </w:rPr>
              <w:t>Purpose</w:t>
            </w:r>
          </w:p>
        </w:tc>
        <w:tc>
          <w:tcPr>
            <w:tcW w:w="31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Calibri" w:eastAsia="Times New Roman" w:hAnsi="Calibri" w:cs="Times New Roman"/>
                <w:color w:val="000000"/>
                <w:sz w:val="24"/>
                <w:szCs w:val="24"/>
                <w:lang w:val="en-US" w:eastAsia="ar-SA"/>
              </w:rPr>
            </w:pPr>
            <w:r>
              <w:rPr>
                <w:rFonts w:eastAsia="Times New Roman" w:cs="Times New Roman"/>
                <w:color w:val="000000"/>
                <w:sz w:val="24"/>
                <w:szCs w:val="24"/>
                <w:lang w:val="en-US" w:eastAsia="ar-SA"/>
              </w:rPr>
              <w:t>Main Changes</w:t>
            </w:r>
          </w:p>
        </w:tc>
      </w:tr>
      <w:tr w:rsidR="00366217" w:rsidRPr="007E5404">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after="0" w:line="240" w:lineRule="auto"/>
              <w:jc w:val="center"/>
              <w:rPr>
                <w:rFonts w:ascii="Calibri" w:eastAsia="Times New Roman Bold" w:hAnsi="Calibri" w:cs="Times New Roman Bold"/>
                <w:color w:val="000000"/>
                <w:sz w:val="24"/>
                <w:szCs w:val="24"/>
                <w:lang w:val="en-US" w:eastAsia="hi-IN" w:bidi="hi-IN"/>
              </w:rPr>
            </w:pPr>
            <w:r>
              <w:rPr>
                <w:rFonts w:eastAsia="Times New Roman Bold" w:cs="Times New Roman Bold"/>
                <w:color w:val="000000"/>
                <w:sz w:val="24"/>
                <w:szCs w:val="24"/>
                <w:lang w:val="en-US" w:eastAsia="hi-IN" w:bidi="hi-IN"/>
              </w:rPr>
              <w:t>Original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after="0" w:line="240" w:lineRule="auto"/>
              <w:jc w:val="center"/>
              <w:rPr>
                <w:rFonts w:ascii="Calibri" w:eastAsia="Times New Roman Bold" w:hAnsi="Calibri" w:cs="Times New Roman Bold"/>
                <w:color w:val="000000"/>
                <w:sz w:val="24"/>
                <w:szCs w:val="24"/>
                <w:lang w:val="en-US" w:eastAsia="hi-IN" w:bidi="hi-IN"/>
              </w:rPr>
            </w:pPr>
            <w:r>
              <w:rPr>
                <w:rFonts w:eastAsia="Times New Roman Bold" w:cs="Times New Roman Bold"/>
                <w:color w:val="000000"/>
                <w:sz w:val="24"/>
                <w:szCs w:val="24"/>
                <w:lang w:val="en-GB" w:eastAsia="hi-IN" w:bidi="hi-IN"/>
              </w:rPr>
              <w:t>18-12-2015</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after="0" w:line="240" w:lineRule="auto"/>
              <w:rPr>
                <w:rFonts w:ascii="Calibri" w:eastAsia="Times New Roman Bold" w:hAnsi="Calibri" w:cs="Times New Roman Bold"/>
                <w:color w:val="000000"/>
                <w:sz w:val="24"/>
                <w:szCs w:val="24"/>
                <w:lang w:val="en-US" w:eastAsia="hi-IN" w:bidi="hi-IN"/>
              </w:rPr>
            </w:pPr>
            <w:r>
              <w:rPr>
                <w:rFonts w:eastAsia="Times New Roman Bold" w:cs="Times New Roman Bold"/>
                <w:color w:val="000000"/>
                <w:sz w:val="24"/>
                <w:szCs w:val="24"/>
                <w:lang w:val="en-US" w:eastAsia="hi-IN" w:bidi="hi-IN"/>
              </w:rPr>
              <w:t>Information</w:t>
            </w:r>
          </w:p>
          <w:p w:rsidR="00366217" w:rsidRDefault="00FD1DB0">
            <w:pPr>
              <w:spacing w:after="0" w:line="240" w:lineRule="auto"/>
              <w:rPr>
                <w:rFonts w:ascii="Calibri" w:eastAsia="Times New Roman Bold" w:hAnsi="Calibri" w:cs="Times New Roman Bold"/>
                <w:color w:val="000000"/>
                <w:sz w:val="24"/>
                <w:szCs w:val="24"/>
                <w:lang w:val="en-US" w:eastAsia="hi-IN" w:bidi="hi-IN"/>
              </w:rPr>
            </w:pPr>
            <w:r>
              <w:rPr>
                <w:rFonts w:eastAsia="Times New Roman Bold" w:cs="Times New Roman Bold"/>
                <w:color w:val="000000"/>
                <w:sz w:val="24"/>
                <w:szCs w:val="24"/>
                <w:lang w:val="en-GB" w:eastAsia="hi-IN" w:bidi="hi-IN"/>
              </w:rPr>
              <w:t>Customs Code Committee – DIH</w:t>
            </w:r>
          </w:p>
        </w:tc>
        <w:tc>
          <w:tcPr>
            <w:tcW w:w="31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366217">
            <w:pPr>
              <w:spacing w:after="0" w:line="240" w:lineRule="auto"/>
              <w:rPr>
                <w:rFonts w:ascii="Calibri" w:eastAsia="Times New Roman Bold" w:hAnsi="Calibri" w:cs="Times New Roman Bold"/>
                <w:color w:val="000000"/>
                <w:sz w:val="24"/>
                <w:szCs w:val="24"/>
                <w:lang w:val="en-US" w:eastAsia="hi-IN" w:bidi="hi-IN"/>
              </w:rPr>
            </w:pPr>
          </w:p>
        </w:tc>
      </w:tr>
    </w:tbl>
    <w:p w:rsidR="00366217" w:rsidRDefault="00FD1DB0">
      <w:pPr>
        <w:spacing w:after="0" w:line="240" w:lineRule="auto"/>
        <w:jc w:val="center"/>
        <w:rPr>
          <w:rFonts w:ascii="Calibri" w:eastAsia="Times New Roman Bold" w:hAnsi="Calibri" w:cs="Times New Roman Bold"/>
          <w:color w:val="000000"/>
          <w:sz w:val="24"/>
          <w:szCs w:val="24"/>
          <w:lang w:val="en-US" w:eastAsia="hi-IN" w:bidi="hi-IN"/>
        </w:rPr>
      </w:pPr>
      <w:r w:rsidRPr="007E5404">
        <w:rPr>
          <w:lang w:val="en-US"/>
        </w:rPr>
        <w:br w:type="page"/>
      </w:r>
    </w:p>
    <w:p w:rsidR="00366217" w:rsidRDefault="00FD1DB0">
      <w:pPr>
        <w:suppressAutoHyphens w:val="0"/>
        <w:jc w:val="center"/>
        <w:rPr>
          <w:rFonts w:ascii="TimesNewRoman" w:eastAsia="Times New Roman" w:hAnsi="TimesNewRoman" w:cs="TimesNewRoman"/>
          <w:b/>
          <w:color w:val="000000"/>
          <w:sz w:val="24"/>
          <w:szCs w:val="24"/>
          <w:lang w:val="en-US" w:eastAsia="en-GB"/>
        </w:rPr>
      </w:pPr>
      <w:r>
        <w:rPr>
          <w:rFonts w:ascii="TimesNewRoman" w:eastAsia="Times New Roman" w:hAnsi="TimesNewRoman" w:cs="TimesNewRoman"/>
          <w:b/>
          <w:color w:val="000000"/>
          <w:sz w:val="24"/>
          <w:szCs w:val="24"/>
          <w:lang w:val="en-US" w:eastAsia="en-GB"/>
        </w:rPr>
        <w:t>Annex A applications and decisions type codes</w:t>
      </w:r>
    </w:p>
    <w:p w:rsidR="00366217" w:rsidRDefault="00366217">
      <w:pPr>
        <w:suppressAutoHyphens w:val="0"/>
        <w:ind w:left="720"/>
        <w:jc w:val="center"/>
        <w:rPr>
          <w:rFonts w:ascii="TimesNewRoman" w:eastAsia="Times New Roman" w:hAnsi="TimesNewRoman" w:cs="TimesNewRoman"/>
          <w:color w:val="000000"/>
          <w:sz w:val="24"/>
          <w:szCs w:val="24"/>
          <w:lang w:val="en-US" w:eastAsia="en-GB"/>
        </w:rPr>
      </w:pPr>
    </w:p>
    <w:p w:rsidR="00366217" w:rsidRDefault="00FD1DB0">
      <w:pPr>
        <w:spacing w:before="120" w:after="0" w:line="36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The following list includes the codes to be used from 1.5.2016 in declarations and notifications to identify the authorisations defined in Annex A.</w:t>
      </w:r>
    </w:p>
    <w:p w:rsidR="00366217" w:rsidRDefault="00FD1DB0">
      <w:pPr>
        <w:spacing w:before="120" w:after="0" w:line="36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This list is distributed concomitantly to TARIC and DIH Member States experts in order to provide them with the necessary technical elements to adapt their systems before 1.5.2016 to implement the UCC and its delegated and implementing act.</w:t>
      </w:r>
    </w:p>
    <w:p w:rsidR="00366217" w:rsidRDefault="00FD1DB0">
      <w:pPr>
        <w:spacing w:before="120" w:after="0" w:line="36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The following codes shall be used:</w:t>
      </w:r>
    </w:p>
    <w:p w:rsidR="00366217" w:rsidRDefault="00366217">
      <w:pPr>
        <w:spacing w:before="120" w:after="0" w:line="360" w:lineRule="auto"/>
        <w:jc w:val="both"/>
        <w:rPr>
          <w:rFonts w:ascii="TimesNewRoman" w:eastAsia="Times New Roman" w:hAnsi="TimesNewRoman" w:cs="TimesNewRoman"/>
          <w:color w:val="000000"/>
          <w:sz w:val="24"/>
          <w:szCs w:val="24"/>
          <w:lang w:val="en-US" w:eastAsia="en-GB"/>
        </w:rPr>
      </w:pPr>
    </w:p>
    <w:tbl>
      <w:tblPr>
        <w:tblW w:w="9288" w:type="dxa"/>
        <w:tblBorders>
          <w:top w:val="single" w:sz="4" w:space="0" w:color="00000A"/>
          <w:bottom w:val="single" w:sz="4" w:space="0" w:color="00000A"/>
          <w:right w:val="single" w:sz="4" w:space="0" w:color="00000A"/>
          <w:insideH w:val="single" w:sz="4" w:space="0" w:color="00000A"/>
          <w:insideV w:val="single" w:sz="4" w:space="0" w:color="00000A"/>
        </w:tblBorders>
        <w:tblCellMar>
          <w:left w:w="113" w:type="dxa"/>
        </w:tblCellMar>
        <w:tblLook w:val="04A0" w:firstRow="1" w:lastRow="0" w:firstColumn="1" w:lastColumn="0" w:noHBand="0" w:noVBand="1"/>
      </w:tblPr>
      <w:tblGrid>
        <w:gridCol w:w="1082"/>
        <w:gridCol w:w="4917"/>
        <w:gridCol w:w="1894"/>
        <w:gridCol w:w="1395"/>
      </w:tblGrid>
      <w:tr w:rsidR="00366217">
        <w:trPr>
          <w:tblHeader/>
        </w:trPr>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center"/>
              <w:rPr>
                <w:rFonts w:ascii="TimesNewRoman" w:eastAsia="Times New Roman" w:hAnsi="TimesNewRoman" w:cs="TimesNewRoman"/>
                <w:b/>
                <w:color w:val="000000"/>
                <w:sz w:val="24"/>
                <w:szCs w:val="24"/>
                <w:lang w:val="en-US" w:eastAsia="en-GB"/>
              </w:rPr>
            </w:pPr>
            <w:r>
              <w:rPr>
                <w:rFonts w:ascii="TimesNewRoman" w:eastAsia="Times New Roman" w:hAnsi="TimesNewRoman" w:cs="TimesNewRoman"/>
                <w:b/>
                <w:color w:val="000000"/>
                <w:sz w:val="24"/>
                <w:szCs w:val="24"/>
                <w:lang w:val="en-US" w:eastAsia="en-GB"/>
              </w:rPr>
              <w:t>Code</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b/>
                <w:color w:val="000000"/>
                <w:sz w:val="24"/>
                <w:szCs w:val="24"/>
                <w:lang w:val="en-US" w:eastAsia="en-GB"/>
              </w:rPr>
            </w:pPr>
            <w:r>
              <w:rPr>
                <w:rFonts w:ascii="TimesNewRoman" w:eastAsia="Times New Roman" w:hAnsi="TimesNewRoman" w:cs="TimesNewRoman"/>
                <w:b/>
                <w:color w:val="000000"/>
                <w:sz w:val="24"/>
                <w:szCs w:val="24"/>
                <w:lang w:val="en-US" w:eastAsia="en-GB"/>
              </w:rPr>
              <w:t>Application/Decision type</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b/>
                <w:color w:val="000000"/>
                <w:sz w:val="24"/>
                <w:szCs w:val="24"/>
                <w:lang w:val="en-US" w:eastAsia="en-GB"/>
              </w:rPr>
            </w:pPr>
            <w:r>
              <w:rPr>
                <w:rFonts w:ascii="TimesNewRoman" w:eastAsia="Times New Roman" w:hAnsi="TimesNewRoman" w:cs="TimesNewRoman"/>
                <w:b/>
                <w:color w:val="000000"/>
                <w:sz w:val="24"/>
                <w:szCs w:val="24"/>
                <w:lang w:val="en-US" w:eastAsia="en-GB"/>
              </w:rPr>
              <w:t xml:space="preserve">Table column heading in Annex A </w:t>
            </w:r>
            <w:r>
              <w:rPr>
                <w:rFonts w:ascii="Times New Roman" w:eastAsia="Times New Roman" w:hAnsi="Times New Roman" w:cs="Times New Roman"/>
                <w:b/>
                <w:color w:val="000000"/>
                <w:sz w:val="24"/>
                <w:szCs w:val="24"/>
                <w:lang w:val="en-US" w:eastAsia="en-GB"/>
              </w:rPr>
              <w:t>of [Delegated Regulation (EU) 2015/… supplementing Regulation (EU) No 952/2013]</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b/>
                <w:color w:val="000000"/>
                <w:sz w:val="24"/>
                <w:szCs w:val="24"/>
                <w:lang w:val="en-US" w:eastAsia="en-GB"/>
              </w:rPr>
            </w:pPr>
            <w:r>
              <w:rPr>
                <w:rFonts w:ascii="TimesNewRoman" w:eastAsia="Times New Roman" w:hAnsi="TimesNewRoman" w:cs="TimesNewRoman"/>
                <w:b/>
                <w:color w:val="000000"/>
                <w:sz w:val="24"/>
                <w:szCs w:val="24"/>
                <w:lang w:val="en-US" w:eastAsia="en-GB"/>
              </w:rPr>
              <w:t>TARIC document codes</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BTI</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Application or decision relating to Binding Tariff Information</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1a</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C626</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BOI</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Application or decision relating to Binding Origin Information</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1b</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C627</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AEOC</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Application or authorisation for  the status of Authorised Economic Operator – Customs simplifications</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2</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C501</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AEOS</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Application or authorisation for  the status of Authorised Economic Operator – Security and safety</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2</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C502</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AEOF</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Application or authorisation for  the status of Authorised Economic Operator – Customs simplifications/Security and safety</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2</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C503</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CVA</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 xml:space="preserve">Application </w:t>
            </w:r>
            <w:r>
              <w:rPr>
                <w:rFonts w:ascii="Times New Roman" w:eastAsia="Times New Roman" w:hAnsi="Times New Roman" w:cs="Times New Roman"/>
                <w:color w:val="000000"/>
                <w:sz w:val="24"/>
                <w:szCs w:val="24"/>
                <w:lang w:val="en-US" w:eastAsia="en-GB"/>
              </w:rPr>
              <w:t xml:space="preserve">or </w:t>
            </w:r>
            <w:r>
              <w:rPr>
                <w:rFonts w:ascii="TimesNewRoman" w:eastAsia="Times New Roman" w:hAnsi="TimesNewRoman" w:cs="TimesNewRoman"/>
                <w:color w:val="000000"/>
                <w:sz w:val="24"/>
                <w:szCs w:val="24"/>
                <w:lang w:val="en-US" w:eastAsia="en-GB"/>
              </w:rPr>
              <w:t>authorisation for the simplification of the determination of amounts being part of the customs value of goods</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3</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C504</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CGU</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 xml:space="preserve">Application </w:t>
            </w:r>
            <w:r>
              <w:rPr>
                <w:rFonts w:ascii="Times New Roman" w:eastAsia="Times New Roman" w:hAnsi="Times New Roman" w:cs="Times New Roman"/>
                <w:color w:val="000000"/>
                <w:sz w:val="24"/>
                <w:szCs w:val="24"/>
                <w:lang w:val="en-US" w:eastAsia="en-GB"/>
              </w:rPr>
              <w:t xml:space="preserve">or </w:t>
            </w:r>
            <w:r>
              <w:rPr>
                <w:rFonts w:ascii="TimesNewRoman" w:eastAsia="Times New Roman" w:hAnsi="TimesNewRoman" w:cs="TimesNewRoman"/>
                <w:color w:val="000000"/>
                <w:sz w:val="24"/>
                <w:szCs w:val="24"/>
                <w:lang w:val="en-US" w:eastAsia="en-GB"/>
              </w:rPr>
              <w:t>authorisation for the provision of a comprehensive guarantee, including possible reduction or waiver</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4a</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C505</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DPO</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 xml:space="preserve">Application </w:t>
            </w:r>
            <w:r>
              <w:rPr>
                <w:rFonts w:ascii="Times New Roman" w:eastAsia="Times New Roman" w:hAnsi="Times New Roman" w:cs="Times New Roman"/>
                <w:color w:val="000000"/>
                <w:sz w:val="24"/>
                <w:szCs w:val="24"/>
                <w:lang w:val="en-US" w:eastAsia="en-GB"/>
              </w:rPr>
              <w:t xml:space="preserve">or </w:t>
            </w:r>
            <w:r>
              <w:rPr>
                <w:rFonts w:ascii="TimesNewRoman" w:eastAsia="Times New Roman" w:hAnsi="TimesNewRoman" w:cs="TimesNewRoman"/>
                <w:color w:val="000000"/>
                <w:sz w:val="24"/>
                <w:szCs w:val="24"/>
                <w:lang w:val="en-US" w:eastAsia="en-GB"/>
              </w:rPr>
              <w:t>authorisation for the deferment of payment</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4b</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C506</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REP</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Application or decision for the repayment of the amounts of import or export duty</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4c</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C507</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REM</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Application or decision for the remission of the amounts of import or export duty</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4c</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C508</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TST</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Application or authorisation for the operation of storage facilities for the temporary storage of goods</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5</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C509</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RSS</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 xml:space="preserve">Application </w:t>
            </w:r>
            <w:r>
              <w:rPr>
                <w:rFonts w:ascii="Times New Roman" w:eastAsia="Times New Roman" w:hAnsi="Times New Roman" w:cs="Times New Roman"/>
                <w:color w:val="000000"/>
                <w:sz w:val="24"/>
                <w:szCs w:val="24"/>
                <w:lang w:val="en-US" w:eastAsia="en-GB"/>
              </w:rPr>
              <w:t xml:space="preserve">or </w:t>
            </w:r>
            <w:r>
              <w:rPr>
                <w:rFonts w:ascii="TimesNewRoman" w:eastAsia="Times New Roman" w:hAnsi="TimesNewRoman" w:cs="TimesNewRoman"/>
                <w:color w:val="000000"/>
                <w:sz w:val="24"/>
                <w:szCs w:val="24"/>
                <w:lang w:val="en-US" w:eastAsia="en-GB"/>
              </w:rPr>
              <w:t>authorisation to establish regular shipping services</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6a</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C510</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ACP</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 xml:space="preserve">Application </w:t>
            </w:r>
            <w:r>
              <w:rPr>
                <w:rFonts w:ascii="Times New Roman" w:eastAsia="Times New Roman" w:hAnsi="Times New Roman" w:cs="Times New Roman"/>
                <w:color w:val="000000"/>
                <w:sz w:val="24"/>
                <w:szCs w:val="24"/>
                <w:lang w:val="en-US" w:eastAsia="en-GB"/>
              </w:rPr>
              <w:t xml:space="preserve">or </w:t>
            </w:r>
            <w:r>
              <w:rPr>
                <w:rFonts w:ascii="TimesNewRoman" w:eastAsia="Times New Roman" w:hAnsi="TimesNewRoman" w:cs="TimesNewRoman"/>
                <w:color w:val="000000"/>
                <w:sz w:val="24"/>
                <w:szCs w:val="24"/>
                <w:lang w:val="en-US" w:eastAsia="en-GB"/>
              </w:rPr>
              <w:t>authorisation for the status of authorised issuer to establish the proof of the customs status of Union goods</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6b</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C511</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SDE</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NewRoman" w:eastAsia="Times New Roman" w:hAnsi="TimesNewRoman" w:cs="TimesNewRoman"/>
                <w:color w:val="000000"/>
                <w:sz w:val="24"/>
                <w:szCs w:val="24"/>
                <w:lang w:val="en-US" w:eastAsia="en-GB"/>
              </w:rPr>
              <w:t xml:space="preserve">Application </w:t>
            </w:r>
            <w:r>
              <w:rPr>
                <w:rFonts w:ascii="Times New Roman" w:eastAsia="Times New Roman" w:hAnsi="Times New Roman" w:cs="Times New Roman"/>
                <w:color w:val="000000"/>
                <w:sz w:val="24"/>
                <w:szCs w:val="24"/>
                <w:lang w:val="en-US" w:eastAsia="en-GB"/>
              </w:rPr>
              <w:t xml:space="preserve">or </w:t>
            </w:r>
            <w:r>
              <w:rPr>
                <w:rFonts w:ascii="TimesNewRoman" w:eastAsia="Times New Roman" w:hAnsi="TimesNewRoman" w:cs="TimesNewRoman"/>
                <w:color w:val="000000"/>
                <w:sz w:val="24"/>
                <w:szCs w:val="24"/>
                <w:lang w:val="en-US" w:eastAsia="en-GB"/>
              </w:rPr>
              <w:t>authorisation to use simplified declaration</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7a</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C512</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CCL</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NewRoman" w:eastAsia="Times New Roman" w:hAnsi="TimesNewRoman" w:cs="TimesNewRoman"/>
                <w:color w:val="000000"/>
                <w:sz w:val="24"/>
                <w:szCs w:val="24"/>
                <w:lang w:val="en-US" w:eastAsia="en-GB"/>
              </w:rPr>
              <w:t xml:space="preserve">Application </w:t>
            </w:r>
            <w:r>
              <w:rPr>
                <w:rFonts w:ascii="Times New Roman" w:eastAsia="Times New Roman" w:hAnsi="Times New Roman" w:cs="Times New Roman"/>
                <w:color w:val="000000"/>
                <w:sz w:val="24"/>
                <w:szCs w:val="24"/>
                <w:lang w:val="en-US" w:eastAsia="en-GB"/>
              </w:rPr>
              <w:t xml:space="preserve">or </w:t>
            </w:r>
            <w:r>
              <w:rPr>
                <w:rFonts w:ascii="TimesNewRoman" w:eastAsia="Times New Roman" w:hAnsi="TimesNewRoman" w:cs="TimesNewRoman"/>
                <w:color w:val="000000"/>
                <w:sz w:val="24"/>
                <w:szCs w:val="24"/>
                <w:lang w:val="en-US" w:eastAsia="en-GB"/>
              </w:rPr>
              <w:t>authorisation for centralised clearance</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7b</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C513</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EIR</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Application or authorisation for making a customs declaration through an entry of data in the declarant's records, including for the export procedure</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7c</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C514</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SAS</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NewRoman" w:eastAsia="Times New Roman" w:hAnsi="TimesNewRoman" w:cs="TimesNewRoman"/>
                <w:color w:val="000000"/>
                <w:sz w:val="24"/>
                <w:szCs w:val="24"/>
                <w:lang w:val="en-US" w:eastAsia="en-GB"/>
              </w:rPr>
              <w:t xml:space="preserve">Application </w:t>
            </w:r>
            <w:r>
              <w:rPr>
                <w:rFonts w:ascii="Times New Roman" w:eastAsia="Times New Roman" w:hAnsi="Times New Roman" w:cs="Times New Roman"/>
                <w:color w:val="000000"/>
                <w:sz w:val="24"/>
                <w:szCs w:val="24"/>
                <w:lang w:val="en-US" w:eastAsia="en-GB"/>
              </w:rPr>
              <w:t xml:space="preserve">or </w:t>
            </w:r>
            <w:r>
              <w:rPr>
                <w:rFonts w:ascii="TimesNewRoman" w:eastAsia="Times New Roman" w:hAnsi="TimesNewRoman" w:cs="TimesNewRoman"/>
                <w:color w:val="000000"/>
                <w:sz w:val="24"/>
                <w:szCs w:val="24"/>
                <w:lang w:val="en-US" w:eastAsia="en-GB"/>
              </w:rPr>
              <w:t>authorisation for self-assessment</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7d</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C515</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AWB</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NewRoman" w:eastAsia="Times New Roman" w:hAnsi="TimesNewRoman" w:cs="TimesNewRoman"/>
                <w:color w:val="000000"/>
                <w:sz w:val="24"/>
                <w:szCs w:val="24"/>
                <w:lang w:val="en-US" w:eastAsia="en-GB"/>
              </w:rPr>
              <w:t xml:space="preserve">Application </w:t>
            </w:r>
            <w:r>
              <w:rPr>
                <w:rFonts w:ascii="Times New Roman" w:eastAsia="Times New Roman" w:hAnsi="Times New Roman" w:cs="Times New Roman"/>
                <w:color w:val="000000"/>
                <w:sz w:val="24"/>
                <w:szCs w:val="24"/>
                <w:lang w:val="en-US" w:eastAsia="en-GB"/>
              </w:rPr>
              <w:t xml:space="preserve">or </w:t>
            </w:r>
            <w:r>
              <w:rPr>
                <w:rFonts w:ascii="TimesNewRoman" w:eastAsia="Times New Roman" w:hAnsi="TimesNewRoman" w:cs="TimesNewRoman"/>
                <w:color w:val="000000"/>
                <w:sz w:val="24"/>
                <w:szCs w:val="24"/>
                <w:lang w:val="en-US" w:eastAsia="en-GB"/>
              </w:rPr>
              <w:t>authorisation for the status of authorised weigher of bananas</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7e</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C526</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IPO</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Application or authorisation for the use of inward processing procedure</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8a</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C601</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OPO</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Application or authorisation for the use of outward processing procedure</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8b</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C019</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EUS</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Application or authorisation for the use of end use</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8c</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N990</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TEA</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Application or authorisation for the use of temporary admission</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8d</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C516</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CWP</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Application or authorisation for the operation of storage facilities for the customs warehousing of goods in a private customs warehouse.</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8e</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C517</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CW1</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 xml:space="preserve">Application or authorisation for the operation of storage facilities for the customs warehousing of goods in a public customs warehouse type I </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8e</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C518</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CW2</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Application or authorisation for the operation of storage facilities for the customs warehousing of goods in a public customs warehouse type II.</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8e</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C519</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ACT</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 xml:space="preserve">Application </w:t>
            </w:r>
            <w:r>
              <w:rPr>
                <w:rFonts w:ascii="Times New Roman" w:eastAsia="Times New Roman" w:hAnsi="Times New Roman" w:cs="Times New Roman"/>
                <w:color w:val="000000"/>
                <w:sz w:val="24"/>
                <w:szCs w:val="24"/>
                <w:lang w:val="en-US" w:eastAsia="en-GB"/>
              </w:rPr>
              <w:t xml:space="preserve">or </w:t>
            </w:r>
            <w:r>
              <w:rPr>
                <w:rFonts w:ascii="TimesNewRoman" w:eastAsia="Times New Roman" w:hAnsi="TimesNewRoman" w:cs="TimesNewRoman"/>
                <w:color w:val="000000"/>
                <w:sz w:val="24"/>
                <w:szCs w:val="24"/>
                <w:lang w:val="en-US" w:eastAsia="en-GB"/>
              </w:rPr>
              <w:t>authorisation for the status of authorised consignee for TIR procedure</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9a</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C520</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ACR</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Application or authorisation for the status of authorised consignor for Union transit</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9b</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C521</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ACE</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Application or authorisation for the status of authorised consignee for Union transit</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9c</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C522</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SSE</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NewRoman" w:eastAsia="Times New Roman" w:hAnsi="TimesNewRoman" w:cs="TimesNewRoman"/>
                <w:color w:val="000000"/>
                <w:sz w:val="24"/>
                <w:szCs w:val="24"/>
                <w:lang w:val="en-US" w:eastAsia="en-GB"/>
              </w:rPr>
              <w:t xml:space="preserve">Application </w:t>
            </w:r>
            <w:r>
              <w:rPr>
                <w:rFonts w:ascii="Times New Roman" w:eastAsia="Times New Roman" w:hAnsi="Times New Roman" w:cs="Times New Roman"/>
                <w:color w:val="000000"/>
                <w:sz w:val="24"/>
                <w:szCs w:val="24"/>
                <w:lang w:val="en-US" w:eastAsia="en-GB"/>
              </w:rPr>
              <w:t xml:space="preserve">or </w:t>
            </w:r>
            <w:r>
              <w:rPr>
                <w:rFonts w:ascii="TimesNewRoman" w:eastAsia="Times New Roman" w:hAnsi="TimesNewRoman" w:cs="TimesNewRoman"/>
                <w:color w:val="000000"/>
                <w:sz w:val="24"/>
                <w:szCs w:val="24"/>
                <w:lang w:val="en-US" w:eastAsia="en-GB"/>
              </w:rPr>
              <w:t>authorisation for the use of seals of a special type</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9d</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C523</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 New Roman" w:eastAsia="Times New Roman" w:hAnsi="Times New Roman" w:cs="Times New Roman"/>
                <w:color w:val="000000"/>
                <w:sz w:val="24"/>
                <w:szCs w:val="24"/>
                <w:lang w:val="en-US" w:eastAsia="en-GB"/>
              </w:rPr>
              <w:t>TRD</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 xml:space="preserve">Application </w:t>
            </w:r>
            <w:r>
              <w:rPr>
                <w:rFonts w:ascii="Times New Roman" w:eastAsia="Times New Roman" w:hAnsi="Times New Roman" w:cs="Times New Roman"/>
                <w:color w:val="000000"/>
                <w:sz w:val="24"/>
                <w:szCs w:val="24"/>
                <w:lang w:val="en-US" w:eastAsia="en-GB"/>
              </w:rPr>
              <w:t xml:space="preserve">or </w:t>
            </w:r>
            <w:r>
              <w:rPr>
                <w:rFonts w:ascii="TimesNewRoman" w:eastAsia="Times New Roman" w:hAnsi="TimesNewRoman" w:cs="TimesNewRoman"/>
                <w:color w:val="000000"/>
                <w:sz w:val="24"/>
                <w:szCs w:val="24"/>
                <w:lang w:val="en-US" w:eastAsia="en-GB"/>
              </w:rPr>
              <w:t>authorisation to use transit declaration with a reduced dataset</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9e</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C524</w:t>
            </w:r>
          </w:p>
        </w:tc>
      </w:tr>
      <w:tr w:rsidR="00366217">
        <w:tc>
          <w:tcPr>
            <w:tcW w:w="1082" w:type="dxa"/>
            <w:tcBorders>
              <w:top w:val="single" w:sz="4" w:space="0" w:color="00000A"/>
              <w:bottom w:val="single" w:sz="4" w:space="0" w:color="00000A"/>
              <w:right w:val="single" w:sz="4" w:space="0" w:color="00000A"/>
            </w:tcBorders>
            <w:shd w:val="clear" w:color="auto" w:fill="auto"/>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ETD</w:t>
            </w:r>
          </w:p>
        </w:tc>
        <w:tc>
          <w:tcPr>
            <w:tcW w:w="4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Authorisation for the use of an electronic transport document as customs declaration</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9f</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6217" w:rsidRDefault="00FD1DB0">
            <w:pPr>
              <w:spacing w:before="120" w:after="120" w:line="240" w:lineRule="auto"/>
              <w:jc w:val="center"/>
              <w:rPr>
                <w:rFonts w:ascii="TimesNewRoman" w:eastAsia="Times New Roman" w:hAnsi="TimesNewRoman" w:cs="TimesNewRoman"/>
                <w:color w:val="000000"/>
                <w:sz w:val="24"/>
                <w:szCs w:val="24"/>
                <w:lang w:val="en-US" w:eastAsia="en-GB"/>
              </w:rPr>
            </w:pPr>
            <w:r>
              <w:rPr>
                <w:rFonts w:ascii="TimesNewRoman" w:eastAsia="Times New Roman" w:hAnsi="TimesNewRoman" w:cs="TimesNewRoman"/>
                <w:color w:val="000000"/>
                <w:sz w:val="24"/>
                <w:szCs w:val="24"/>
                <w:lang w:val="en-US" w:eastAsia="en-GB"/>
              </w:rPr>
              <w:t>C525</w:t>
            </w:r>
          </w:p>
        </w:tc>
      </w:tr>
    </w:tbl>
    <w:p w:rsidR="00366217" w:rsidRDefault="00366217">
      <w:pPr>
        <w:spacing w:before="120" w:after="120" w:line="240" w:lineRule="auto"/>
        <w:jc w:val="both"/>
        <w:rPr>
          <w:rFonts w:ascii="Calibri" w:eastAsia="Times New Roman" w:hAnsi="Calibri" w:cs="Times New Roman"/>
          <w:color w:val="000000"/>
          <w:sz w:val="24"/>
          <w:szCs w:val="24"/>
          <w:lang w:val="en-GB" w:eastAsia="ar-SA"/>
        </w:rPr>
      </w:pPr>
    </w:p>
    <w:p w:rsidR="00366217" w:rsidRDefault="00366217">
      <w:pPr>
        <w:pStyle w:val="Lijstalinea"/>
        <w:jc w:val="both"/>
      </w:pPr>
    </w:p>
    <w:sectPr w:rsidR="00366217">
      <w:footerReference w:type="default" r:id="rId10"/>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00" w:rsidRDefault="00927500">
      <w:pPr>
        <w:spacing w:after="0" w:line="240" w:lineRule="auto"/>
      </w:pPr>
      <w:r>
        <w:separator/>
      </w:r>
    </w:p>
  </w:endnote>
  <w:endnote w:type="continuationSeparator" w:id="0">
    <w:p w:rsidR="00927500" w:rsidRDefault="0092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EUAlbertina">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roman"/>
    <w:pitch w:val="variable"/>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50011"/>
      <w:docPartObj>
        <w:docPartGallery w:val="Page Numbers (Bottom of Page)"/>
        <w:docPartUnique/>
      </w:docPartObj>
    </w:sdtPr>
    <w:sdtEndPr/>
    <w:sdtContent>
      <w:p w:rsidR="00366217" w:rsidRDefault="00FD1DB0">
        <w:pPr>
          <w:pStyle w:val="Voettekst"/>
          <w:jc w:val="right"/>
        </w:pPr>
        <w:r>
          <w:fldChar w:fldCharType="begin"/>
        </w:r>
        <w:r>
          <w:instrText>PAGE</w:instrText>
        </w:r>
        <w:r>
          <w:fldChar w:fldCharType="separate"/>
        </w:r>
        <w:r w:rsidR="00112066">
          <w:rPr>
            <w:noProof/>
          </w:rPr>
          <w:t>2</w:t>
        </w:r>
        <w:r>
          <w:fldChar w:fldCharType="end"/>
        </w:r>
      </w:p>
    </w:sdtContent>
  </w:sdt>
  <w:p w:rsidR="00366217" w:rsidRDefault="00366217">
    <w:pPr>
      <w:pStyle w:val="Voettekst"/>
    </w:pPr>
  </w:p>
  <w:p w:rsidR="00366217" w:rsidRDefault="00366217"/>
  <w:p w:rsidR="00366217" w:rsidRDefault="003662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00" w:rsidRDefault="00927500">
      <w:r>
        <w:separator/>
      </w:r>
    </w:p>
  </w:footnote>
  <w:footnote w:type="continuationSeparator" w:id="0">
    <w:p w:rsidR="00927500" w:rsidRDefault="00927500">
      <w:r>
        <w:continuationSeparator/>
      </w:r>
    </w:p>
  </w:footnote>
  <w:footnote w:id="1">
    <w:p w:rsidR="00366217" w:rsidRDefault="00FD1DB0">
      <w:pPr>
        <w:pStyle w:val="Voetnoottekst"/>
      </w:pPr>
      <w:r>
        <w:rPr>
          <w:highlight w:val="green"/>
        </w:rPr>
        <w:footnoteRef/>
      </w:r>
      <w:r>
        <w:rPr>
          <w:highlight w:val="green"/>
        </w:rPr>
        <w:tab/>
        <w:t xml:space="preserve"> (EU) 2015/2446 van de Commissie van 28 juli 2015</w:t>
      </w:r>
    </w:p>
  </w:footnote>
  <w:footnote w:id="2">
    <w:p w:rsidR="00366217" w:rsidRDefault="00FD1DB0">
      <w:pPr>
        <w:pStyle w:val="Voetnoottekst"/>
      </w:pPr>
      <w:r>
        <w:rPr>
          <w:highlight w:val="green"/>
        </w:rPr>
        <w:footnoteRef/>
      </w:r>
      <w:r>
        <w:rPr>
          <w:highlight w:val="green"/>
        </w:rPr>
        <w:tab/>
        <w:t xml:space="preserve"> (EU) 2015/2447 van de Commissie van 24 november 2015</w:t>
      </w:r>
    </w:p>
  </w:footnote>
  <w:footnote w:id="3">
    <w:p w:rsidR="00366217" w:rsidRDefault="00FD1DB0">
      <w:pPr>
        <w:pStyle w:val="Voetnoottekst"/>
      </w:pPr>
      <w:r>
        <w:rPr>
          <w:highlight w:val="green"/>
        </w:rPr>
        <w:footnoteRef/>
      </w:r>
      <w:r>
        <w:rPr>
          <w:highlight w:val="green"/>
        </w:rPr>
        <w:tab/>
        <w:t xml:space="preserve"> Zie hiervoor de meest recente ontwerpversie van TDA van 21.12.15. Nog geen officiële publicatie.</w:t>
      </w:r>
    </w:p>
  </w:footnote>
  <w:footnote w:id="4">
    <w:p w:rsidR="00366217" w:rsidRDefault="00FD1DB0">
      <w:pPr>
        <w:pStyle w:val="Voetnoottekst"/>
      </w:pPr>
      <w:r>
        <w:rPr>
          <w:highlight w:val="green"/>
        </w:rPr>
        <w:footnoteRef/>
      </w:r>
      <w:r>
        <w:rPr>
          <w:highlight w:val="green"/>
        </w:rPr>
        <w:tab/>
        <w:t xml:space="preserve"> De meest recentste ontwerpversie van het UCC werkprogramma dateert 11.01.16. Nog geen officiële publicatie.</w:t>
      </w:r>
    </w:p>
    <w:p w:rsidR="00366217" w:rsidRDefault="00366217">
      <w:pPr>
        <w:pStyle w:val="Voetnoottekst"/>
      </w:pPr>
    </w:p>
  </w:footnote>
  <w:footnote w:id="5">
    <w:p w:rsidR="00366217" w:rsidRDefault="00FD1DB0">
      <w:pPr>
        <w:pStyle w:val="Voetnoottekst"/>
      </w:pPr>
      <w:r>
        <w:footnoteRef/>
      </w:r>
      <w:r>
        <w:tab/>
      </w:r>
      <w:r>
        <w:tab/>
        <w:t xml:space="preserve"> Zie daarvoor bijlage 1 aan dit document.</w:t>
      </w:r>
    </w:p>
    <w:p w:rsidR="00366217" w:rsidRDefault="00366217">
      <w:pPr>
        <w:pStyle w:val="Voetnoottekst"/>
      </w:pPr>
    </w:p>
    <w:p w:rsidR="00366217" w:rsidRDefault="00366217">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0E8"/>
    <w:multiLevelType w:val="multilevel"/>
    <w:tmpl w:val="7030499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63A072F"/>
    <w:multiLevelType w:val="multilevel"/>
    <w:tmpl w:val="7D0E241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15:restartNumberingAfterBreak="0">
    <w:nsid w:val="06D54BA9"/>
    <w:multiLevelType w:val="multilevel"/>
    <w:tmpl w:val="CF38213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08776EF9"/>
    <w:multiLevelType w:val="multilevel"/>
    <w:tmpl w:val="0ABE8FD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356D5"/>
    <w:multiLevelType w:val="multilevel"/>
    <w:tmpl w:val="C130E7E8"/>
    <w:lvl w:ilvl="0">
      <w:start w:val="1"/>
      <w:numFmt w:val="bullet"/>
      <w:lvlText w:val="o"/>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0D122E3C"/>
    <w:multiLevelType w:val="multilevel"/>
    <w:tmpl w:val="DCCE6F88"/>
    <w:lvl w:ilvl="0">
      <w:start w:val="1"/>
      <w:numFmt w:val="bullet"/>
      <w:lvlText w:val="–"/>
      <w:lvlJc w:val="left"/>
      <w:pPr>
        <w:ind w:left="3589" w:hanging="360"/>
      </w:pPr>
      <w:rPr>
        <w:rFonts w:ascii="Calibri" w:hAnsi="Calibri" w:cs="Calibri" w:hint="default"/>
      </w:rPr>
    </w:lvl>
    <w:lvl w:ilvl="1">
      <w:start w:val="1"/>
      <w:numFmt w:val="bullet"/>
      <w:lvlText w:val=""/>
      <w:lvlJc w:val="left"/>
      <w:pPr>
        <w:ind w:left="2160" w:hanging="360"/>
      </w:pPr>
      <w:rPr>
        <w:rFonts w:ascii="Symbol" w:hAnsi="Symbol" w:cs="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0EA579E8"/>
    <w:multiLevelType w:val="multilevel"/>
    <w:tmpl w:val="1D78F500"/>
    <w:lvl w:ilvl="0">
      <w:start w:val="1"/>
      <w:numFmt w:val="bullet"/>
      <w:lvlText w:val=""/>
      <w:lvlJc w:val="left"/>
      <w:pPr>
        <w:ind w:left="300" w:hanging="360"/>
      </w:pPr>
      <w:rPr>
        <w:rFonts w:ascii="Symbol" w:hAnsi="Symbol" w:cs="Symbol" w:hint="default"/>
      </w:rPr>
    </w:lvl>
    <w:lvl w:ilvl="1">
      <w:start w:val="1"/>
      <w:numFmt w:val="bullet"/>
      <w:lvlText w:val="o"/>
      <w:lvlJc w:val="left"/>
      <w:pPr>
        <w:ind w:left="1020" w:hanging="360"/>
      </w:pPr>
      <w:rPr>
        <w:rFonts w:ascii="Courier New" w:hAnsi="Courier New" w:cs="Courier New" w:hint="default"/>
      </w:rPr>
    </w:lvl>
    <w:lvl w:ilvl="2">
      <w:start w:val="1"/>
      <w:numFmt w:val="bullet"/>
      <w:lvlText w:val=""/>
      <w:lvlJc w:val="left"/>
      <w:pPr>
        <w:ind w:left="1740" w:hanging="360"/>
      </w:pPr>
      <w:rPr>
        <w:rFonts w:ascii="Wingdings" w:hAnsi="Wingdings" w:cs="Wingdings" w:hint="default"/>
      </w:rPr>
    </w:lvl>
    <w:lvl w:ilvl="3">
      <w:start w:val="1"/>
      <w:numFmt w:val="bullet"/>
      <w:lvlText w:val=""/>
      <w:lvlJc w:val="left"/>
      <w:pPr>
        <w:ind w:left="2460" w:hanging="360"/>
      </w:pPr>
      <w:rPr>
        <w:rFonts w:ascii="Wingdings" w:hAnsi="Wingdings" w:cs="Wingdings" w:hint="default"/>
      </w:rPr>
    </w:lvl>
    <w:lvl w:ilvl="4">
      <w:start w:val="1"/>
      <w:numFmt w:val="bullet"/>
      <w:lvlText w:val="o"/>
      <w:lvlJc w:val="left"/>
      <w:pPr>
        <w:ind w:left="3180" w:hanging="360"/>
      </w:pPr>
      <w:rPr>
        <w:rFonts w:ascii="Courier New" w:hAnsi="Courier New" w:cs="Courier New" w:hint="default"/>
      </w:rPr>
    </w:lvl>
    <w:lvl w:ilvl="5">
      <w:start w:val="1"/>
      <w:numFmt w:val="bullet"/>
      <w:lvlText w:val=""/>
      <w:lvlJc w:val="left"/>
      <w:pPr>
        <w:ind w:left="3900" w:hanging="360"/>
      </w:pPr>
      <w:rPr>
        <w:rFonts w:ascii="Wingdings" w:hAnsi="Wingdings" w:cs="Wingdings" w:hint="default"/>
      </w:rPr>
    </w:lvl>
    <w:lvl w:ilvl="6">
      <w:start w:val="1"/>
      <w:numFmt w:val="bullet"/>
      <w:lvlText w:val=""/>
      <w:lvlJc w:val="left"/>
      <w:pPr>
        <w:ind w:left="4620" w:hanging="360"/>
      </w:pPr>
      <w:rPr>
        <w:rFonts w:ascii="Symbol" w:hAnsi="Symbol" w:cs="Symbol" w:hint="default"/>
      </w:rPr>
    </w:lvl>
    <w:lvl w:ilvl="7">
      <w:start w:val="1"/>
      <w:numFmt w:val="bullet"/>
      <w:lvlText w:val="o"/>
      <w:lvlJc w:val="left"/>
      <w:pPr>
        <w:ind w:left="5340" w:hanging="360"/>
      </w:pPr>
      <w:rPr>
        <w:rFonts w:ascii="Courier New" w:hAnsi="Courier New" w:cs="Courier New" w:hint="default"/>
      </w:rPr>
    </w:lvl>
    <w:lvl w:ilvl="8">
      <w:start w:val="1"/>
      <w:numFmt w:val="bullet"/>
      <w:lvlText w:val=""/>
      <w:lvlJc w:val="left"/>
      <w:pPr>
        <w:ind w:left="6060" w:hanging="360"/>
      </w:pPr>
      <w:rPr>
        <w:rFonts w:ascii="Wingdings" w:hAnsi="Wingdings" w:cs="Wingdings" w:hint="default"/>
      </w:rPr>
    </w:lvl>
  </w:abstractNum>
  <w:abstractNum w:abstractNumId="7" w15:restartNumberingAfterBreak="0">
    <w:nsid w:val="1BF96397"/>
    <w:multiLevelType w:val="multilevel"/>
    <w:tmpl w:val="CB26F6B8"/>
    <w:lvl w:ilvl="0">
      <w:start w:val="1"/>
      <w:numFmt w:val="bullet"/>
      <w:lvlText w:val="o"/>
      <w:lvlJc w:val="left"/>
      <w:pPr>
        <w:ind w:left="2421" w:hanging="360"/>
      </w:pPr>
      <w:rPr>
        <w:rFonts w:ascii="Courier New" w:hAnsi="Courier New" w:cs="Courier New"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cs="Wingdings" w:hint="default"/>
      </w:rPr>
    </w:lvl>
    <w:lvl w:ilvl="3">
      <w:start w:val="1"/>
      <w:numFmt w:val="bullet"/>
      <w:lvlText w:val=""/>
      <w:lvlJc w:val="left"/>
      <w:pPr>
        <w:ind w:left="4581" w:hanging="360"/>
      </w:pPr>
      <w:rPr>
        <w:rFonts w:ascii="Symbol" w:hAnsi="Symbol" w:cs="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cs="Wingdings" w:hint="default"/>
      </w:rPr>
    </w:lvl>
    <w:lvl w:ilvl="6">
      <w:start w:val="1"/>
      <w:numFmt w:val="bullet"/>
      <w:lvlText w:val=""/>
      <w:lvlJc w:val="left"/>
      <w:pPr>
        <w:ind w:left="6741" w:hanging="360"/>
      </w:pPr>
      <w:rPr>
        <w:rFonts w:ascii="Symbol" w:hAnsi="Symbol" w:cs="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cs="Wingdings" w:hint="default"/>
      </w:rPr>
    </w:lvl>
  </w:abstractNum>
  <w:abstractNum w:abstractNumId="8" w15:restartNumberingAfterBreak="0">
    <w:nsid w:val="1CBE6483"/>
    <w:multiLevelType w:val="multilevel"/>
    <w:tmpl w:val="83EC55C2"/>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9" w15:restartNumberingAfterBreak="0">
    <w:nsid w:val="1CF2283B"/>
    <w:multiLevelType w:val="multilevel"/>
    <w:tmpl w:val="181650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DE50309"/>
    <w:multiLevelType w:val="multilevel"/>
    <w:tmpl w:val="22B62128"/>
    <w:lvl w:ilvl="0">
      <w:start w:val="1"/>
      <w:numFmt w:val="bullet"/>
      <w:lvlText w:val="-"/>
      <w:lvlJc w:val="left"/>
      <w:pPr>
        <w:ind w:left="2136" w:hanging="360"/>
      </w:pPr>
      <w:rPr>
        <w:rFonts w:ascii="Calibri" w:hAnsi="Calibri" w:cs="Calibri"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11" w15:restartNumberingAfterBreak="0">
    <w:nsid w:val="246F74D2"/>
    <w:multiLevelType w:val="multilevel"/>
    <w:tmpl w:val="E5CEB92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268628AE"/>
    <w:multiLevelType w:val="multilevel"/>
    <w:tmpl w:val="C8E0D66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275053A7"/>
    <w:multiLevelType w:val="multilevel"/>
    <w:tmpl w:val="06E61D5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27DB3CA1"/>
    <w:multiLevelType w:val="multilevel"/>
    <w:tmpl w:val="3BA8ED2A"/>
    <w:lvl w:ilvl="0">
      <w:start w:val="1"/>
      <w:numFmt w:val="bullet"/>
      <w:lvlText w:val=""/>
      <w:lvlJc w:val="left"/>
      <w:pPr>
        <w:ind w:left="1429" w:hanging="360"/>
      </w:pPr>
      <w:rPr>
        <w:rFonts w:ascii="Symbol" w:hAnsi="Symbol" w:cs="Symbol" w:hint="default"/>
      </w:rPr>
    </w:lvl>
    <w:lvl w:ilvl="1">
      <w:start w:val="1"/>
      <w:numFmt w:val="bullet"/>
      <w:lvlText w:val=""/>
      <w:lvlJc w:val="left"/>
      <w:pPr>
        <w:ind w:left="2149" w:hanging="360"/>
      </w:pPr>
      <w:rPr>
        <w:rFonts w:ascii="Symbol" w:hAnsi="Symbol" w:cs="Symbol" w:hint="default"/>
      </w:rPr>
    </w:lvl>
    <w:lvl w:ilvl="2">
      <w:start w:val="1"/>
      <w:numFmt w:val="bullet"/>
      <w:lvlText w:val="–"/>
      <w:lvlJc w:val="left"/>
      <w:pPr>
        <w:ind w:left="2869" w:hanging="360"/>
      </w:pPr>
      <w:rPr>
        <w:rFonts w:ascii="Calibri" w:hAnsi="Calibri" w:cs="Calibri"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15:restartNumberingAfterBreak="0">
    <w:nsid w:val="27EF3AC7"/>
    <w:multiLevelType w:val="multilevel"/>
    <w:tmpl w:val="67DE1F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C8B0FB9"/>
    <w:multiLevelType w:val="multilevel"/>
    <w:tmpl w:val="A82070D6"/>
    <w:lvl w:ilvl="0">
      <w:start w:val="1"/>
      <w:numFmt w:val="bullet"/>
      <w:lvlText w:val=""/>
      <w:lvlJc w:val="left"/>
      <w:pPr>
        <w:ind w:left="2138" w:hanging="360"/>
      </w:pPr>
      <w:rPr>
        <w:rFonts w:ascii="Symbol" w:hAnsi="Symbol" w:cs="Symbol" w:hint="default"/>
      </w:rPr>
    </w:lvl>
    <w:lvl w:ilvl="1">
      <w:start w:val="1"/>
      <w:numFmt w:val="bullet"/>
      <w:lvlText w:val="-"/>
      <w:lvlJc w:val="left"/>
      <w:pPr>
        <w:ind w:left="2858" w:hanging="360"/>
      </w:pPr>
      <w:rPr>
        <w:rFonts w:ascii="Calibri" w:hAnsi="Calibri" w:cs="Calibri"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17" w15:restartNumberingAfterBreak="0">
    <w:nsid w:val="31802B39"/>
    <w:multiLevelType w:val="multilevel"/>
    <w:tmpl w:val="CF56C5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1A24706"/>
    <w:multiLevelType w:val="multilevel"/>
    <w:tmpl w:val="E064037A"/>
    <w:lvl w:ilvl="0">
      <w:start w:val="1"/>
      <w:numFmt w:val="decimal"/>
      <w:lvlText w:val="%1."/>
      <w:lvlJc w:val="left"/>
      <w:pPr>
        <w:ind w:left="360" w:hanging="360"/>
      </w:pPr>
    </w:lvl>
    <w:lvl w:ilvl="1">
      <w:start w:val="1"/>
      <w:numFmt w:val="decimal"/>
      <w:lvlText w:val="%1.%2."/>
      <w:lvlJc w:val="left"/>
      <w:pPr>
        <w:ind w:left="792" w:hanging="432"/>
      </w:pPr>
      <w:rPr>
        <w:b w:val="0"/>
        <w:bCs/>
        <w:sz w:val="20"/>
        <w:szCs w:val="20"/>
      </w:rPr>
    </w:lvl>
    <w:lvl w:ilvl="2">
      <w:start w:val="1"/>
      <w:numFmt w:val="decimal"/>
      <w:lvlText w:val="%1.%2.%3."/>
      <w:lvlJc w:val="left"/>
      <w:pPr>
        <w:ind w:left="1224" w:hanging="504"/>
      </w:pPr>
      <w:rPr>
        <w:b/>
        <w:bCs/>
      </w:rPr>
    </w:lvl>
    <w:lvl w:ilvl="3">
      <w:start w:val="1"/>
      <w:numFmt w:val="bullet"/>
      <w:lvlText w:val=""/>
      <w:lvlJc w:val="left"/>
      <w:pPr>
        <w:ind w:left="1728" w:hanging="648"/>
      </w:pPr>
      <w:rPr>
        <w:rFonts w:ascii="Symbol" w:hAnsi="Symbol" w:cs="Symbol" w:hint="default"/>
      </w:rPr>
    </w:lvl>
    <w:lvl w:ilvl="4">
      <w:start w:val="1"/>
      <w:numFmt w:val="bullet"/>
      <w:lvlText w:val=""/>
      <w:lvlJc w:val="left"/>
      <w:pPr>
        <w:ind w:left="2232" w:hanging="792"/>
      </w:pPr>
      <w:rPr>
        <w:rFonts w:ascii="Symbol" w:hAnsi="Symbol" w:cs="Symbol" w:hint="default"/>
      </w:r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2E214A"/>
    <w:multiLevelType w:val="multilevel"/>
    <w:tmpl w:val="7B50188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3C2923D2"/>
    <w:multiLevelType w:val="multilevel"/>
    <w:tmpl w:val="C6D21EEC"/>
    <w:lvl w:ilvl="0">
      <w:start w:val="1"/>
      <w:numFmt w:val="bullet"/>
      <w:lvlText w:val=""/>
      <w:lvlJc w:val="left"/>
      <w:pPr>
        <w:ind w:left="1429" w:hanging="360"/>
      </w:pPr>
      <w:rPr>
        <w:rFonts w:ascii="Symbol" w:hAnsi="Symbol" w:cs="Symbol" w:hint="default"/>
      </w:rPr>
    </w:lvl>
    <w:lvl w:ilvl="1">
      <w:start w:val="1"/>
      <w:numFmt w:val="bullet"/>
      <w:lvlText w:val=""/>
      <w:lvlJc w:val="left"/>
      <w:pPr>
        <w:ind w:left="2149" w:hanging="360"/>
      </w:pPr>
      <w:rPr>
        <w:rFonts w:ascii="Symbol" w:hAnsi="Symbol" w:cs="Symbol"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3D966C8B"/>
    <w:multiLevelType w:val="multilevel"/>
    <w:tmpl w:val="DB7EEEE0"/>
    <w:lvl w:ilvl="0">
      <w:start w:val="1"/>
      <w:numFmt w:val="bullet"/>
      <w:lvlText w:val=""/>
      <w:lvlJc w:val="left"/>
      <w:pPr>
        <w:ind w:left="1494" w:hanging="360"/>
      </w:pPr>
      <w:rPr>
        <w:rFonts w:ascii="Symbol" w:hAnsi="Symbol" w:cs="Symbol" w:hint="default"/>
      </w:rPr>
    </w:lvl>
    <w:lvl w:ilvl="1">
      <w:start w:val="1"/>
      <w:numFmt w:val="bullet"/>
      <w:lvlText w:val=""/>
      <w:lvlJc w:val="left"/>
      <w:pPr>
        <w:ind w:left="2214" w:hanging="360"/>
      </w:pPr>
      <w:rPr>
        <w:rFonts w:ascii="Symbol" w:hAnsi="Symbol" w:cs="Symbol" w:hint="default"/>
      </w:rPr>
    </w:lvl>
    <w:lvl w:ilvl="2">
      <w:start w:val="1"/>
      <w:numFmt w:val="bullet"/>
      <w:lvlText w:val="-"/>
      <w:lvlJc w:val="left"/>
      <w:pPr>
        <w:ind w:left="2934" w:hanging="360"/>
      </w:pPr>
      <w:rPr>
        <w:rFonts w:ascii="Calibri" w:hAnsi="Calibri" w:cs="Calibri"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22" w15:restartNumberingAfterBreak="0">
    <w:nsid w:val="3EA74C2D"/>
    <w:multiLevelType w:val="multilevel"/>
    <w:tmpl w:val="2A8A537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F30592E"/>
    <w:multiLevelType w:val="multilevel"/>
    <w:tmpl w:val="159C55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47357A88"/>
    <w:multiLevelType w:val="multilevel"/>
    <w:tmpl w:val="0AB2B42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D818A4"/>
    <w:multiLevelType w:val="multilevel"/>
    <w:tmpl w:val="E536EF5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15:restartNumberingAfterBreak="0">
    <w:nsid w:val="4ADC270F"/>
    <w:multiLevelType w:val="multilevel"/>
    <w:tmpl w:val="63C4D1A8"/>
    <w:lvl w:ilvl="0">
      <w:start w:val="1"/>
      <w:numFmt w:val="bullet"/>
      <w:lvlText w:val=""/>
      <w:lvlJc w:val="left"/>
      <w:pPr>
        <w:ind w:left="2421" w:hanging="360"/>
      </w:pPr>
      <w:rPr>
        <w:rFonts w:ascii="Wingdings" w:hAnsi="Wingdings" w:cs="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cs="Wingdings" w:hint="default"/>
      </w:rPr>
    </w:lvl>
    <w:lvl w:ilvl="3">
      <w:start w:val="1"/>
      <w:numFmt w:val="bullet"/>
      <w:lvlText w:val=""/>
      <w:lvlJc w:val="left"/>
      <w:pPr>
        <w:ind w:left="4581" w:hanging="360"/>
      </w:pPr>
      <w:rPr>
        <w:rFonts w:ascii="Symbol" w:hAnsi="Symbol" w:cs="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cs="Wingdings" w:hint="default"/>
      </w:rPr>
    </w:lvl>
    <w:lvl w:ilvl="6">
      <w:start w:val="1"/>
      <w:numFmt w:val="bullet"/>
      <w:lvlText w:val=""/>
      <w:lvlJc w:val="left"/>
      <w:pPr>
        <w:ind w:left="6741" w:hanging="360"/>
      </w:pPr>
      <w:rPr>
        <w:rFonts w:ascii="Symbol" w:hAnsi="Symbol" w:cs="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cs="Wingdings" w:hint="default"/>
      </w:rPr>
    </w:lvl>
  </w:abstractNum>
  <w:abstractNum w:abstractNumId="27" w15:restartNumberingAfterBreak="0">
    <w:nsid w:val="4B5001F2"/>
    <w:multiLevelType w:val="multilevel"/>
    <w:tmpl w:val="9700543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F331563"/>
    <w:multiLevelType w:val="multilevel"/>
    <w:tmpl w:val="6D2A708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15:restartNumberingAfterBreak="0">
    <w:nsid w:val="4F40041D"/>
    <w:multiLevelType w:val="multilevel"/>
    <w:tmpl w:val="E90894A4"/>
    <w:lvl w:ilvl="0">
      <w:start w:val="1"/>
      <w:numFmt w:val="bullet"/>
      <w:lvlText w:val="o"/>
      <w:lvlJc w:val="left"/>
      <w:pPr>
        <w:ind w:left="2421" w:hanging="360"/>
      </w:pPr>
      <w:rPr>
        <w:rFonts w:ascii="Courier New" w:hAnsi="Courier New" w:cs="Courier New"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cs="Wingdings" w:hint="default"/>
      </w:rPr>
    </w:lvl>
    <w:lvl w:ilvl="3">
      <w:start w:val="1"/>
      <w:numFmt w:val="bullet"/>
      <w:lvlText w:val=""/>
      <w:lvlJc w:val="left"/>
      <w:pPr>
        <w:ind w:left="4581" w:hanging="360"/>
      </w:pPr>
      <w:rPr>
        <w:rFonts w:ascii="Symbol" w:hAnsi="Symbol" w:cs="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cs="Wingdings" w:hint="default"/>
      </w:rPr>
    </w:lvl>
    <w:lvl w:ilvl="6">
      <w:start w:val="1"/>
      <w:numFmt w:val="bullet"/>
      <w:lvlText w:val=""/>
      <w:lvlJc w:val="left"/>
      <w:pPr>
        <w:ind w:left="6741" w:hanging="360"/>
      </w:pPr>
      <w:rPr>
        <w:rFonts w:ascii="Symbol" w:hAnsi="Symbol" w:cs="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cs="Wingdings" w:hint="default"/>
      </w:rPr>
    </w:lvl>
  </w:abstractNum>
  <w:abstractNum w:abstractNumId="30" w15:restartNumberingAfterBreak="0">
    <w:nsid w:val="50A21255"/>
    <w:multiLevelType w:val="multilevel"/>
    <w:tmpl w:val="FE9C42A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15:restartNumberingAfterBreak="0">
    <w:nsid w:val="560C650D"/>
    <w:multiLevelType w:val="multilevel"/>
    <w:tmpl w:val="FE8CE3E8"/>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15:restartNumberingAfterBreak="0">
    <w:nsid w:val="5A843122"/>
    <w:multiLevelType w:val="multilevel"/>
    <w:tmpl w:val="20D617CA"/>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3" w15:restartNumberingAfterBreak="0">
    <w:nsid w:val="5C753967"/>
    <w:multiLevelType w:val="multilevel"/>
    <w:tmpl w:val="B31487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C962186"/>
    <w:multiLevelType w:val="multilevel"/>
    <w:tmpl w:val="A29003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FFA3482"/>
    <w:multiLevelType w:val="multilevel"/>
    <w:tmpl w:val="58C87EC2"/>
    <w:lvl w:ilvl="0">
      <w:start w:val="1"/>
      <w:numFmt w:val="decimal"/>
      <w:lvlText w:val="%1."/>
      <w:lvlJc w:val="left"/>
      <w:pPr>
        <w:ind w:left="1440" w:hanging="360"/>
      </w:pPr>
      <w:rPr>
        <w:b/>
        <w:u w:val="singl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40A2747"/>
    <w:multiLevelType w:val="multilevel"/>
    <w:tmpl w:val="EC2627A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15:restartNumberingAfterBreak="0">
    <w:nsid w:val="6727087F"/>
    <w:multiLevelType w:val="multilevel"/>
    <w:tmpl w:val="2A8476B4"/>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15:restartNumberingAfterBreak="0">
    <w:nsid w:val="67592006"/>
    <w:multiLevelType w:val="multilevel"/>
    <w:tmpl w:val="74CE7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AF3DDC"/>
    <w:multiLevelType w:val="multilevel"/>
    <w:tmpl w:val="A6BCF37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6EB84525"/>
    <w:multiLevelType w:val="multilevel"/>
    <w:tmpl w:val="DCBCA2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F6079A2"/>
    <w:multiLevelType w:val="multilevel"/>
    <w:tmpl w:val="148ECE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2" w15:restartNumberingAfterBreak="0">
    <w:nsid w:val="77636652"/>
    <w:multiLevelType w:val="multilevel"/>
    <w:tmpl w:val="314443A8"/>
    <w:lvl w:ilvl="0">
      <w:start w:val="1"/>
      <w:numFmt w:val="bullet"/>
      <w:lvlText w:val=""/>
      <w:lvlJc w:val="left"/>
      <w:pPr>
        <w:ind w:left="1713" w:hanging="360"/>
      </w:pPr>
      <w:rPr>
        <w:rFonts w:ascii="Wingdings" w:hAnsi="Wingdings" w:cs="Wingdings"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43" w15:restartNumberingAfterBreak="0">
    <w:nsid w:val="79A62424"/>
    <w:multiLevelType w:val="multilevel"/>
    <w:tmpl w:val="607AC45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4" w15:restartNumberingAfterBreak="0">
    <w:nsid w:val="7F121EA4"/>
    <w:multiLevelType w:val="multilevel"/>
    <w:tmpl w:val="60BEF728"/>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Wingdings" w:hAnsi="Wingdings" w:cs="Wingdings" w:hint="default"/>
      </w:rPr>
    </w:lvl>
    <w:lvl w:ilvl="2">
      <w:start w:val="1"/>
      <w:numFmt w:val="bullet"/>
      <w:lvlText w:val="o"/>
      <w:lvlJc w:val="left"/>
      <w:pPr>
        <w:ind w:left="2880" w:hanging="360"/>
      </w:pPr>
      <w:rPr>
        <w:rFonts w:ascii="Courier New" w:hAnsi="Courier New" w:cs="Courier New"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8"/>
  </w:num>
  <w:num w:numId="2">
    <w:abstractNumId w:val="41"/>
  </w:num>
  <w:num w:numId="3">
    <w:abstractNumId w:val="19"/>
  </w:num>
  <w:num w:numId="4">
    <w:abstractNumId w:val="13"/>
  </w:num>
  <w:num w:numId="5">
    <w:abstractNumId w:val="11"/>
  </w:num>
  <w:num w:numId="6">
    <w:abstractNumId w:val="22"/>
  </w:num>
  <w:num w:numId="7">
    <w:abstractNumId w:val="21"/>
  </w:num>
  <w:num w:numId="8">
    <w:abstractNumId w:val="30"/>
  </w:num>
  <w:num w:numId="9">
    <w:abstractNumId w:val="25"/>
  </w:num>
  <w:num w:numId="10">
    <w:abstractNumId w:val="43"/>
  </w:num>
  <w:num w:numId="11">
    <w:abstractNumId w:val="29"/>
  </w:num>
  <w:num w:numId="12">
    <w:abstractNumId w:val="40"/>
  </w:num>
  <w:num w:numId="13">
    <w:abstractNumId w:val="31"/>
  </w:num>
  <w:num w:numId="14">
    <w:abstractNumId w:val="39"/>
  </w:num>
  <w:num w:numId="15">
    <w:abstractNumId w:val="4"/>
  </w:num>
  <w:num w:numId="16">
    <w:abstractNumId w:val="7"/>
  </w:num>
  <w:num w:numId="17">
    <w:abstractNumId w:val="28"/>
  </w:num>
  <w:num w:numId="18">
    <w:abstractNumId w:val="37"/>
  </w:num>
  <w:num w:numId="19">
    <w:abstractNumId w:val="20"/>
  </w:num>
  <w:num w:numId="20">
    <w:abstractNumId w:val="26"/>
  </w:num>
  <w:num w:numId="21">
    <w:abstractNumId w:val="27"/>
  </w:num>
  <w:num w:numId="22">
    <w:abstractNumId w:val="12"/>
  </w:num>
  <w:num w:numId="23">
    <w:abstractNumId w:val="0"/>
  </w:num>
  <w:num w:numId="24">
    <w:abstractNumId w:val="36"/>
  </w:num>
  <w:num w:numId="25">
    <w:abstractNumId w:val="33"/>
  </w:num>
  <w:num w:numId="26">
    <w:abstractNumId w:val="38"/>
  </w:num>
  <w:num w:numId="27">
    <w:abstractNumId w:val="3"/>
  </w:num>
  <w:num w:numId="28">
    <w:abstractNumId w:val="24"/>
  </w:num>
  <w:num w:numId="29">
    <w:abstractNumId w:val="44"/>
  </w:num>
  <w:num w:numId="30">
    <w:abstractNumId w:val="17"/>
  </w:num>
  <w:num w:numId="31">
    <w:abstractNumId w:val="14"/>
  </w:num>
  <w:num w:numId="32">
    <w:abstractNumId w:val="42"/>
  </w:num>
  <w:num w:numId="33">
    <w:abstractNumId w:val="5"/>
  </w:num>
  <w:num w:numId="34">
    <w:abstractNumId w:val="9"/>
  </w:num>
  <w:num w:numId="35">
    <w:abstractNumId w:val="15"/>
  </w:num>
  <w:num w:numId="36">
    <w:abstractNumId w:val="6"/>
  </w:num>
  <w:num w:numId="37">
    <w:abstractNumId w:val="34"/>
  </w:num>
  <w:num w:numId="38">
    <w:abstractNumId w:val="2"/>
  </w:num>
  <w:num w:numId="39">
    <w:abstractNumId w:val="32"/>
  </w:num>
  <w:num w:numId="40">
    <w:abstractNumId w:val="1"/>
  </w:num>
  <w:num w:numId="41">
    <w:abstractNumId w:val="35"/>
  </w:num>
  <w:num w:numId="42">
    <w:abstractNumId w:val="10"/>
  </w:num>
  <w:num w:numId="43">
    <w:abstractNumId w:val="16"/>
  </w:num>
  <w:num w:numId="44">
    <w:abstractNumId w:val="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17"/>
    <w:rsid w:val="00112066"/>
    <w:rsid w:val="002D5AA9"/>
    <w:rsid w:val="00366217"/>
    <w:rsid w:val="007E5404"/>
    <w:rsid w:val="00927500"/>
    <w:rsid w:val="00FD1DB0"/>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0FF5F-0F7C-49B5-9DBF-824B6990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77A3"/>
    <w:pPr>
      <w:suppressAutoHyphens/>
      <w:spacing w:after="200"/>
    </w:pPr>
    <w:rPr>
      <w:color w:val="00000A"/>
      <w:sz w:val="22"/>
    </w:rPr>
  </w:style>
  <w:style w:type="paragraph" w:styleId="Kop1">
    <w:name w:val="heading 1"/>
    <w:basedOn w:val="Standaard"/>
    <w:next w:val="Standaard"/>
    <w:link w:val="Kop1Char"/>
    <w:uiPriority w:val="9"/>
    <w:qFormat/>
    <w:rsid w:val="008A0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A05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A05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rsid w:val="00020C94"/>
    <w:rPr>
      <w:rFonts w:ascii="Tahoma" w:hAnsi="Tahoma" w:cs="Tahoma"/>
      <w:sz w:val="16"/>
      <w:szCs w:val="16"/>
    </w:rPr>
  </w:style>
  <w:style w:type="character" w:customStyle="1" w:styleId="En-tteCar">
    <w:name w:val="En-tête Car"/>
    <w:basedOn w:val="Standaardalinea-lettertype"/>
    <w:uiPriority w:val="99"/>
    <w:rsid w:val="006033DA"/>
  </w:style>
  <w:style w:type="character" w:customStyle="1" w:styleId="VoettekstChar">
    <w:name w:val="Voettekst Char"/>
    <w:basedOn w:val="Standaardalinea-lettertype"/>
    <w:link w:val="Voettekst"/>
    <w:uiPriority w:val="99"/>
    <w:rsid w:val="006033DA"/>
  </w:style>
  <w:style w:type="character" w:customStyle="1" w:styleId="ListLabel1">
    <w:name w:val="ListLabel 1"/>
    <w:rPr>
      <w:rFonts w:cs="Courier New"/>
    </w:rPr>
  </w:style>
  <w:style w:type="character" w:customStyle="1" w:styleId="ListLabel2">
    <w:name w:val="ListLabel 2"/>
    <w:rPr>
      <w:rFonts w:eastAsia="Calibri"/>
    </w:rPr>
  </w:style>
  <w:style w:type="character" w:customStyle="1" w:styleId="Kop1Char">
    <w:name w:val="Kop 1 Char"/>
    <w:basedOn w:val="Standaardalinea-lettertype"/>
    <w:link w:val="Kop1"/>
    <w:uiPriority w:val="9"/>
    <w:rsid w:val="008A054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A054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A0549"/>
    <w:rPr>
      <w:rFonts w:asciiTheme="majorHAnsi" w:eastAsiaTheme="majorEastAsia" w:hAnsiTheme="majorHAnsi" w:cstheme="majorBidi"/>
      <w:b/>
      <w:bCs/>
      <w:color w:val="4F81BD" w:themeColor="accent1"/>
    </w:rPr>
  </w:style>
  <w:style w:type="character" w:customStyle="1" w:styleId="LijstalineaChar">
    <w:name w:val="Lijstalinea Char"/>
    <w:basedOn w:val="Standaardalinea-lettertype"/>
    <w:link w:val="Lijstalinea"/>
    <w:uiPriority w:val="34"/>
    <w:rsid w:val="008A0549"/>
  </w:style>
  <w:style w:type="character" w:customStyle="1" w:styleId="TitreunCar">
    <w:name w:val="Titre un Car"/>
    <w:basedOn w:val="LijstalineaChar"/>
    <w:link w:val="Titreun"/>
    <w:rsid w:val="008A0549"/>
    <w:rPr>
      <w:b/>
      <w:color w:val="4F81BD" w:themeColor="accent1"/>
      <w:sz w:val="28"/>
      <w:szCs w:val="28"/>
      <w:u w:val="single"/>
    </w:rPr>
  </w:style>
  <w:style w:type="character" w:customStyle="1" w:styleId="TitredeuxCar">
    <w:name w:val="Titre deux Car"/>
    <w:basedOn w:val="LijstalineaChar"/>
    <w:link w:val="Titredeux"/>
    <w:rsid w:val="008A0549"/>
    <w:rPr>
      <w:b/>
      <w:bCs/>
      <w:color w:val="1F497D" w:themeColor="text2"/>
      <w:u w:val="single"/>
    </w:rPr>
  </w:style>
  <w:style w:type="character" w:customStyle="1" w:styleId="TitretroisCar">
    <w:name w:val="Titre trois Car"/>
    <w:basedOn w:val="TitredeuxCar"/>
    <w:link w:val="Titretrois"/>
    <w:rsid w:val="004A5EBD"/>
    <w:rPr>
      <w:b/>
      <w:bCs/>
      <w:color w:val="4BACC6" w:themeColor="accent5"/>
      <w:sz w:val="24"/>
      <w:szCs w:val="24"/>
      <w:u w:val="single"/>
    </w:rPr>
  </w:style>
  <w:style w:type="character" w:customStyle="1" w:styleId="LienInternet">
    <w:name w:val="Lien Internet"/>
    <w:basedOn w:val="Standaardalinea-lettertype"/>
    <w:uiPriority w:val="99"/>
    <w:unhideWhenUsed/>
    <w:rsid w:val="00817DE5"/>
    <w:rPr>
      <w:color w:val="0000FF" w:themeColor="hyperlink"/>
      <w:u w:val="single"/>
    </w:rPr>
  </w:style>
  <w:style w:type="character" w:customStyle="1" w:styleId="VoetnoottekstChar">
    <w:name w:val="Voetnoottekst Char"/>
    <w:basedOn w:val="Standaardalinea-lettertype"/>
    <w:link w:val="Voetnoottekst"/>
    <w:uiPriority w:val="99"/>
    <w:semiHidden/>
    <w:rsid w:val="0047448B"/>
    <w:rPr>
      <w:sz w:val="20"/>
      <w:szCs w:val="20"/>
    </w:rPr>
  </w:style>
  <w:style w:type="character" w:styleId="Voetnootmarkering">
    <w:name w:val="footnote reference"/>
    <w:basedOn w:val="Standaardalinea-lettertype"/>
    <w:uiPriority w:val="99"/>
    <w:semiHidden/>
    <w:unhideWhenUsed/>
    <w:rsid w:val="0047448B"/>
    <w:rPr>
      <w:vertAlign w:val="superscript"/>
    </w:rPr>
  </w:style>
  <w:style w:type="character" w:styleId="Verwijzingopmerking">
    <w:name w:val="annotation reference"/>
    <w:basedOn w:val="Standaardalinea-lettertype"/>
    <w:uiPriority w:val="99"/>
    <w:semiHidden/>
    <w:unhideWhenUsed/>
    <w:rsid w:val="001461EA"/>
    <w:rPr>
      <w:sz w:val="16"/>
      <w:szCs w:val="16"/>
    </w:rPr>
  </w:style>
  <w:style w:type="character" w:customStyle="1" w:styleId="TekstopmerkingChar">
    <w:name w:val="Tekst opmerking Char"/>
    <w:basedOn w:val="Standaardalinea-lettertype"/>
    <w:link w:val="Tekstopmerking"/>
    <w:uiPriority w:val="99"/>
    <w:semiHidden/>
    <w:rsid w:val="001461EA"/>
    <w:rPr>
      <w:sz w:val="20"/>
      <w:szCs w:val="20"/>
    </w:rPr>
  </w:style>
  <w:style w:type="character" w:customStyle="1" w:styleId="OnderwerpvanopmerkingChar">
    <w:name w:val="Onderwerp van opmerking Char"/>
    <w:basedOn w:val="TekstopmerkingChar"/>
    <w:link w:val="Onderwerpvanopmerking"/>
    <w:uiPriority w:val="99"/>
    <w:semiHidden/>
    <w:rsid w:val="001461EA"/>
    <w:rPr>
      <w:b/>
      <w:bCs/>
      <w:sz w:val="20"/>
      <w:szCs w:val="20"/>
    </w:rPr>
  </w:style>
  <w:style w:type="character" w:styleId="Nadruk">
    <w:name w:val="Emphasis"/>
    <w:basedOn w:val="Standaardalinea-lettertype"/>
    <w:uiPriority w:val="20"/>
    <w:qFormat/>
    <w:rsid w:val="00060B7F"/>
    <w:rPr>
      <w:i/>
      <w:iCs/>
    </w:rPr>
  </w:style>
  <w:style w:type="character" w:styleId="Zwaar">
    <w:name w:val="Strong"/>
    <w:basedOn w:val="Standaardalinea-lettertype"/>
    <w:uiPriority w:val="22"/>
    <w:qFormat/>
    <w:rsid w:val="00ED0F9C"/>
    <w:rPr>
      <w:b/>
      <w:bCs/>
    </w:rPr>
  </w:style>
  <w:style w:type="character" w:customStyle="1" w:styleId="EindnoottekstChar">
    <w:name w:val="Eindnoottekst Char"/>
    <w:basedOn w:val="Standaardalinea-lettertype"/>
    <w:link w:val="Eindnoottekst"/>
    <w:uiPriority w:val="99"/>
    <w:semiHidden/>
    <w:rsid w:val="002201CE"/>
    <w:rPr>
      <w:sz w:val="20"/>
      <w:szCs w:val="20"/>
    </w:rPr>
  </w:style>
  <w:style w:type="character" w:styleId="Eindnootmarkering">
    <w:name w:val="endnote reference"/>
    <w:basedOn w:val="Standaardalinea-lettertype"/>
    <w:uiPriority w:val="99"/>
    <w:semiHidden/>
    <w:unhideWhenUsed/>
    <w:rsid w:val="002201CE"/>
    <w:rPr>
      <w:vertAlign w:val="superscript"/>
    </w:rPr>
  </w:style>
  <w:style w:type="character" w:customStyle="1" w:styleId="mt-translation-content">
    <w:name w:val="mt-translation-content"/>
    <w:basedOn w:val="Standaardalinea-lettertype"/>
    <w:rsid w:val="001F22D8"/>
  </w:style>
  <w:style w:type="character" w:customStyle="1" w:styleId="ListLabel3">
    <w:name w:val="ListLabel 3"/>
    <w:rPr>
      <w:color w:val="4F81BD"/>
    </w:rPr>
  </w:style>
  <w:style w:type="character" w:customStyle="1" w:styleId="ListLabel4">
    <w:name w:val="ListLabel 4"/>
    <w:rPr>
      <w:b w:val="0"/>
      <w:bCs/>
      <w:color w:val="1F497D"/>
      <w:sz w:val="20"/>
      <w:szCs w:val="20"/>
    </w:rPr>
  </w:style>
  <w:style w:type="character" w:customStyle="1" w:styleId="ListLabel5">
    <w:name w:val="ListLabel 5"/>
    <w:rPr>
      <w:b/>
      <w:bC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eastAsia="Calibri" w:cs="Calibri"/>
    </w:rPr>
  </w:style>
  <w:style w:type="character" w:customStyle="1" w:styleId="ListLabel10">
    <w:name w:val="ListLabel 10"/>
    <w:rPr>
      <w:color w:val="00000A"/>
    </w:rPr>
  </w:style>
  <w:style w:type="character" w:customStyle="1" w:styleId="ListLabel11">
    <w:name w:val="ListLabel 11"/>
    <w:rPr>
      <w:rFonts w:eastAsia="Calibri" w:cs="Calibri"/>
    </w:rPr>
  </w:style>
  <w:style w:type="character" w:customStyle="1" w:styleId="ListLabel12">
    <w:name w:val="ListLabel 12"/>
    <w:rPr>
      <w:sz w:val="20"/>
    </w:rPr>
  </w:style>
  <w:style w:type="character" w:customStyle="1" w:styleId="ListLabel13">
    <w:name w:val="ListLabel 13"/>
    <w:rPr>
      <w:b/>
      <w:u w:val="singl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ListLabel14">
    <w:name w:val="ListLabel 14"/>
    <w:rPr>
      <w:b w:val="0"/>
      <w:bCs/>
      <w:sz w:val="20"/>
      <w:szCs w:val="20"/>
    </w:rPr>
  </w:style>
  <w:style w:type="character" w:customStyle="1" w:styleId="ListLabel15">
    <w:name w:val="ListLabel 15"/>
    <w:rPr>
      <w:b/>
      <w:bC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Calibri"/>
    </w:rPr>
  </w:style>
  <w:style w:type="character" w:customStyle="1" w:styleId="ListLabel20">
    <w:name w:val="ListLabel 20"/>
    <w:rPr>
      <w:b/>
      <w:u w:val="single"/>
    </w:rPr>
  </w:style>
  <w:style w:type="character" w:customStyle="1" w:styleId="ListLabel21">
    <w:name w:val="ListLabel 21"/>
    <w:rPr>
      <w:b w:val="0"/>
      <w:bCs/>
      <w:sz w:val="20"/>
      <w:szCs w:val="20"/>
    </w:rPr>
  </w:style>
  <w:style w:type="character" w:customStyle="1" w:styleId="ListLabel22">
    <w:name w:val="ListLabel 22"/>
    <w:rPr>
      <w:b/>
      <w:bC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Calibri"/>
    </w:rPr>
  </w:style>
  <w:style w:type="character" w:customStyle="1" w:styleId="ListLabel27">
    <w:name w:val="ListLabel 27"/>
    <w:rPr>
      <w:b/>
      <w:u w:val="single"/>
    </w:rPr>
  </w:style>
  <w:style w:type="character" w:customStyle="1" w:styleId="Sautdindex">
    <w:name w:val="Saut d'index"/>
  </w:style>
  <w:style w:type="character" w:customStyle="1" w:styleId="Caractresdenotedebasdepage">
    <w:name w:val="Caractères de note de bas de page"/>
  </w:style>
  <w:style w:type="character" w:customStyle="1" w:styleId="Caractresdenotedefin">
    <w:name w:val="Caractères de note de fin"/>
  </w:style>
  <w:style w:type="paragraph" w:styleId="Titel">
    <w:name w:val="Title"/>
    <w:basedOn w:val="Standaard"/>
    <w:next w:val="Platteteks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customStyle="1" w:styleId="Titreprincipal">
    <w:name w:val="Titre principal"/>
    <w:basedOn w:val="Standaard"/>
    <w:next w:val="Standaard"/>
    <w:rsid w:val="00FA60C8"/>
    <w:pPr>
      <w:keepNext/>
      <w:spacing w:before="240" w:after="120"/>
    </w:pPr>
    <w:rPr>
      <w:rFonts w:asciiTheme="majorHAnsi" w:eastAsia="Microsoft YaHei" w:hAnsiTheme="majorHAnsi" w:cs="Arial"/>
      <w:color w:val="1F497D" w:themeColor="text2"/>
      <w:sz w:val="52"/>
      <w:szCs w:val="28"/>
    </w:rPr>
  </w:style>
  <w:style w:type="paragraph" w:styleId="Lijstalinea">
    <w:name w:val="List Paragraph"/>
    <w:basedOn w:val="Standaard"/>
    <w:link w:val="LijstalineaChar"/>
    <w:uiPriority w:val="34"/>
    <w:qFormat/>
    <w:rsid w:val="00D30373"/>
    <w:pPr>
      <w:ind w:left="720"/>
      <w:contextualSpacing/>
    </w:pPr>
  </w:style>
  <w:style w:type="paragraph" w:styleId="Ballontekst">
    <w:name w:val="Balloon Text"/>
    <w:basedOn w:val="Standaard"/>
    <w:link w:val="BallontekstChar"/>
    <w:uiPriority w:val="99"/>
    <w:semiHidden/>
    <w:unhideWhenUsed/>
    <w:rsid w:val="00020C94"/>
    <w:pPr>
      <w:spacing w:after="0" w:line="240" w:lineRule="auto"/>
    </w:pPr>
    <w:rPr>
      <w:rFonts w:ascii="Tahoma" w:hAnsi="Tahoma" w:cs="Tahoma"/>
      <w:sz w:val="16"/>
      <w:szCs w:val="16"/>
    </w:rPr>
  </w:style>
  <w:style w:type="paragraph" w:styleId="Koptekst">
    <w:name w:val="header"/>
    <w:basedOn w:val="Standaard"/>
    <w:uiPriority w:val="99"/>
    <w:unhideWhenUsed/>
    <w:rsid w:val="006033DA"/>
    <w:pPr>
      <w:tabs>
        <w:tab w:val="center" w:pos="4536"/>
        <w:tab w:val="right" w:pos="9072"/>
      </w:tabs>
      <w:spacing w:after="0" w:line="240" w:lineRule="auto"/>
    </w:pPr>
  </w:style>
  <w:style w:type="paragraph" w:styleId="Voettekst">
    <w:name w:val="footer"/>
    <w:basedOn w:val="Standaard"/>
    <w:link w:val="VoettekstChar"/>
    <w:uiPriority w:val="99"/>
    <w:unhideWhenUsed/>
    <w:rsid w:val="006033DA"/>
    <w:pPr>
      <w:tabs>
        <w:tab w:val="center" w:pos="4536"/>
        <w:tab w:val="right" w:pos="9072"/>
      </w:tabs>
      <w:spacing w:after="0" w:line="240" w:lineRule="auto"/>
    </w:pPr>
  </w:style>
  <w:style w:type="paragraph" w:customStyle="1" w:styleId="Titreun">
    <w:name w:val="Titre un"/>
    <w:basedOn w:val="Lijstalinea"/>
    <w:link w:val="TitreunCar"/>
    <w:qFormat/>
    <w:rsid w:val="008A0549"/>
    <w:rPr>
      <w:b/>
      <w:color w:val="4F81BD" w:themeColor="accent1"/>
      <w:sz w:val="28"/>
      <w:szCs w:val="28"/>
      <w:u w:val="single"/>
    </w:rPr>
  </w:style>
  <w:style w:type="paragraph" w:customStyle="1" w:styleId="Titredeux">
    <w:name w:val="Titre deux"/>
    <w:basedOn w:val="Lijstalinea"/>
    <w:link w:val="TitredeuxCar"/>
    <w:qFormat/>
    <w:rsid w:val="008A0549"/>
    <w:rPr>
      <w:b/>
      <w:bCs/>
      <w:color w:val="1F497D" w:themeColor="text2"/>
      <w:u w:val="single"/>
    </w:rPr>
  </w:style>
  <w:style w:type="paragraph" w:customStyle="1" w:styleId="Titretrois">
    <w:name w:val="Titre trois"/>
    <w:basedOn w:val="Titredeux"/>
    <w:link w:val="TitretroisCar"/>
    <w:qFormat/>
    <w:rsid w:val="004A5EBD"/>
    <w:rPr>
      <w:color w:val="4BACC6" w:themeColor="accent5"/>
      <w:sz w:val="24"/>
      <w:szCs w:val="24"/>
    </w:rPr>
  </w:style>
  <w:style w:type="paragraph" w:customStyle="1" w:styleId="Titredetabledesmatires">
    <w:name w:val="Titre de table des matières"/>
    <w:basedOn w:val="Kop1"/>
    <w:next w:val="Standaard"/>
    <w:uiPriority w:val="39"/>
    <w:unhideWhenUsed/>
    <w:qFormat/>
    <w:rsid w:val="00CF337E"/>
    <w:pPr>
      <w:suppressAutoHyphens w:val="0"/>
    </w:pPr>
    <w:rPr>
      <w:lang w:val="fr-BE" w:eastAsia="fr-BE"/>
    </w:rPr>
  </w:style>
  <w:style w:type="paragraph" w:customStyle="1" w:styleId="Tabledesmatiresniveau1">
    <w:name w:val="Table des matières niveau 1"/>
    <w:basedOn w:val="Standaard"/>
    <w:next w:val="Standaard"/>
    <w:autoRedefine/>
    <w:uiPriority w:val="39"/>
    <w:unhideWhenUsed/>
    <w:rsid w:val="001347EE"/>
    <w:pPr>
      <w:tabs>
        <w:tab w:val="left" w:pos="440"/>
        <w:tab w:val="right" w:leader="dot" w:pos="9062"/>
      </w:tabs>
      <w:spacing w:after="100"/>
      <w:jc w:val="right"/>
    </w:pPr>
    <w:rPr>
      <w:b/>
      <w:bCs/>
    </w:rPr>
  </w:style>
  <w:style w:type="paragraph" w:customStyle="1" w:styleId="Tabledesmatiresniveau2">
    <w:name w:val="Table des matières niveau 2"/>
    <w:basedOn w:val="Standaard"/>
    <w:next w:val="Standaard"/>
    <w:autoRedefine/>
    <w:uiPriority w:val="39"/>
    <w:unhideWhenUsed/>
    <w:rsid w:val="00B95662"/>
    <w:pPr>
      <w:tabs>
        <w:tab w:val="left" w:pos="880"/>
        <w:tab w:val="right" w:leader="dot" w:pos="9062"/>
      </w:tabs>
      <w:spacing w:after="100"/>
      <w:ind w:left="220"/>
    </w:pPr>
  </w:style>
  <w:style w:type="paragraph" w:customStyle="1" w:styleId="Tabledesmatiresniveau3">
    <w:name w:val="Table des matières niveau 3"/>
    <w:basedOn w:val="Standaard"/>
    <w:next w:val="Standaard"/>
    <w:autoRedefine/>
    <w:uiPriority w:val="39"/>
    <w:unhideWhenUsed/>
    <w:rsid w:val="00817DE5"/>
    <w:pPr>
      <w:spacing w:after="100"/>
      <w:ind w:left="440"/>
    </w:pPr>
  </w:style>
  <w:style w:type="paragraph" w:styleId="Voetnoottekst">
    <w:name w:val="footnote text"/>
    <w:basedOn w:val="Standaard"/>
    <w:link w:val="VoetnoottekstChar"/>
  </w:style>
  <w:style w:type="paragraph" w:styleId="Tekstopmerking">
    <w:name w:val="annotation text"/>
    <w:basedOn w:val="Standaard"/>
    <w:link w:val="TekstopmerkingChar"/>
    <w:uiPriority w:val="99"/>
    <w:semiHidden/>
    <w:unhideWhenUsed/>
    <w:rsid w:val="001461EA"/>
    <w:pPr>
      <w:spacing w:line="240" w:lineRule="auto"/>
    </w:pPr>
    <w:rPr>
      <w:sz w:val="20"/>
      <w:szCs w:val="20"/>
    </w:rPr>
  </w:style>
  <w:style w:type="paragraph" w:styleId="Onderwerpvanopmerking">
    <w:name w:val="annotation subject"/>
    <w:basedOn w:val="Tekstopmerking"/>
    <w:link w:val="OnderwerpvanopmerkingChar"/>
    <w:uiPriority w:val="99"/>
    <w:semiHidden/>
    <w:unhideWhenUsed/>
    <w:rsid w:val="001461EA"/>
    <w:rPr>
      <w:b/>
      <w:bCs/>
    </w:rPr>
  </w:style>
  <w:style w:type="paragraph" w:customStyle="1" w:styleId="CM1">
    <w:name w:val="CM1"/>
    <w:basedOn w:val="Standaard"/>
    <w:next w:val="Standaard"/>
    <w:uiPriority w:val="99"/>
    <w:rsid w:val="00431309"/>
    <w:pPr>
      <w:suppressAutoHyphens w:val="0"/>
      <w:spacing w:after="0" w:line="240" w:lineRule="auto"/>
    </w:pPr>
    <w:rPr>
      <w:rFonts w:ascii="EUAlbertina" w:hAnsi="EUAlbertina" w:cs="Times New Roman"/>
      <w:sz w:val="24"/>
      <w:szCs w:val="24"/>
    </w:rPr>
  </w:style>
  <w:style w:type="paragraph" w:customStyle="1" w:styleId="CM3">
    <w:name w:val="CM3"/>
    <w:basedOn w:val="Standaard"/>
    <w:next w:val="Standaard"/>
    <w:uiPriority w:val="99"/>
    <w:rsid w:val="00431309"/>
    <w:pPr>
      <w:suppressAutoHyphens w:val="0"/>
      <w:spacing w:after="0" w:line="240" w:lineRule="auto"/>
    </w:pPr>
    <w:rPr>
      <w:rFonts w:ascii="EUAlbertina" w:hAnsi="EUAlbertina" w:cs="Times New Roman"/>
      <w:sz w:val="24"/>
      <w:szCs w:val="24"/>
    </w:rPr>
  </w:style>
  <w:style w:type="paragraph" w:styleId="Eindnoottekst">
    <w:name w:val="endnote text"/>
    <w:basedOn w:val="Standaard"/>
    <w:link w:val="EindnoottekstChar"/>
    <w:uiPriority w:val="99"/>
    <w:semiHidden/>
    <w:unhideWhenUsed/>
    <w:rsid w:val="002201CE"/>
    <w:pPr>
      <w:spacing w:after="0" w:line="240" w:lineRule="auto"/>
    </w:pPr>
    <w:rPr>
      <w:sz w:val="20"/>
      <w:szCs w:val="20"/>
    </w:rPr>
  </w:style>
  <w:style w:type="table" w:styleId="Tabelraster">
    <w:name w:val="Table Grid"/>
    <w:basedOn w:val="Standaardtabel"/>
    <w:uiPriority w:val="59"/>
    <w:rsid w:val="00796F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59"/>
    <w:rsid w:val="00EA0D9B"/>
    <w:pPr>
      <w:spacing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1B4E-00A5-4CBF-9FF7-56723506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9131</Words>
  <Characters>50223</Characters>
  <Application>Microsoft Office Word</Application>
  <DocSecurity>0</DocSecurity>
  <Lines>418</Lines>
  <Paragraphs>118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Service Public Fédéral Finances</Company>
  <LinksUpToDate>false</LinksUpToDate>
  <CharactersWithSpaces>59236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Nathalie Thijssens</cp:lastModifiedBy>
  <cp:revision>2</cp:revision>
  <cp:lastPrinted>2016-03-04T14:39:00Z</cp:lastPrinted>
  <dcterms:created xsi:type="dcterms:W3CDTF">2016-07-05T13:16:00Z</dcterms:created>
  <dcterms:modified xsi:type="dcterms:W3CDTF">2016-07-05T13:16:00Z</dcterms:modified>
  <dc:language>fr-BE</dc:language>
</cp:coreProperties>
</file>